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7" w:rsidRPr="0056478D" w:rsidRDefault="000E5CC7" w:rsidP="000E5CC7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56478D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56478D">
        <w:rPr>
          <w:rFonts w:cs="Calibri"/>
          <w:sz w:val="20"/>
          <w:szCs w:val="20"/>
        </w:rPr>
        <w:t>р</w:t>
      </w:r>
      <w:r w:rsidRPr="0056478D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6478D">
        <w:rPr>
          <w:rFonts w:cs="Calibri"/>
          <w:sz w:val="20"/>
          <w:szCs w:val="20"/>
        </w:rPr>
        <w:t>ю</w:t>
      </w:r>
      <w:r w:rsidRPr="0056478D">
        <w:rPr>
          <w:rFonts w:cs="Calibri"/>
          <w:sz w:val="20"/>
          <w:szCs w:val="20"/>
        </w:rPr>
        <w:t>щихся по програ</w:t>
      </w:r>
      <w:r w:rsidRPr="0056478D">
        <w:rPr>
          <w:rFonts w:cs="Calibri"/>
          <w:sz w:val="20"/>
          <w:szCs w:val="20"/>
        </w:rPr>
        <w:t>м</w:t>
      </w:r>
      <w:r w:rsidRPr="0056478D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6478D">
        <w:rPr>
          <w:rFonts w:cs="Calibri"/>
          <w:sz w:val="20"/>
          <w:szCs w:val="20"/>
        </w:rPr>
        <w:t>в</w:t>
      </w:r>
      <w:r w:rsidRPr="0056478D">
        <w:rPr>
          <w:rFonts w:cs="Calibri"/>
          <w:sz w:val="20"/>
          <w:szCs w:val="20"/>
        </w:rPr>
        <w:t>ленного Фондом президентских грантов.</w:t>
      </w:r>
    </w:p>
    <w:p w:rsidR="000E5CC7" w:rsidRPr="00E91D33" w:rsidRDefault="000E5CC7" w:rsidP="000E5CC7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0E5CC7" w:rsidRDefault="000E5CC7" w:rsidP="000E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478D">
        <w:rPr>
          <w:rFonts w:ascii="Times New Roman" w:eastAsia="Calibri" w:hAnsi="Times New Roman" w:cs="Times New Roman"/>
          <w:sz w:val="24"/>
          <w:szCs w:val="24"/>
        </w:rPr>
        <w:t>Танич</w:t>
      </w:r>
      <w:proofErr w:type="spellEnd"/>
      <w:r w:rsidRPr="0056478D">
        <w:rPr>
          <w:rFonts w:ascii="Times New Roman" w:eastAsia="Calibri" w:hAnsi="Times New Roman" w:cs="Times New Roman"/>
          <w:sz w:val="24"/>
          <w:szCs w:val="24"/>
        </w:rPr>
        <w:t xml:space="preserve"> Ю.С., ГБПОУ «Самарский государственный колледж сервисных технологий и диза</w:t>
      </w:r>
      <w:r w:rsidRPr="0056478D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>на»</w:t>
      </w:r>
    </w:p>
    <w:p w:rsidR="000E5CC7" w:rsidRPr="0056478D" w:rsidRDefault="000E5CC7" w:rsidP="000E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CFB" w:rsidRPr="000E5CC7" w:rsidRDefault="00336CFB" w:rsidP="000E5C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CC7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336CFB" w:rsidRPr="000E5CC7" w:rsidRDefault="00336CFB" w:rsidP="000E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CC7">
        <w:rPr>
          <w:rFonts w:ascii="Times New Roman" w:eastAsia="Calibri" w:hAnsi="Times New Roman" w:cs="Times New Roman"/>
          <w:sz w:val="24"/>
          <w:szCs w:val="24"/>
        </w:rPr>
        <w:t>Компетенция в сфере инфо</w:t>
      </w:r>
      <w:r w:rsidR="00643247" w:rsidRPr="000E5CC7">
        <w:rPr>
          <w:rFonts w:ascii="Times New Roman" w:eastAsia="Calibri" w:hAnsi="Times New Roman" w:cs="Times New Roman"/>
          <w:sz w:val="24"/>
          <w:szCs w:val="24"/>
        </w:rPr>
        <w:t>р</w:t>
      </w:r>
      <w:r w:rsidRPr="000E5CC7">
        <w:rPr>
          <w:rFonts w:ascii="Times New Roman" w:eastAsia="Calibri" w:hAnsi="Times New Roman" w:cs="Times New Roman"/>
          <w:sz w:val="24"/>
          <w:szCs w:val="24"/>
        </w:rPr>
        <w:t>мации. Поиск информации.</w:t>
      </w:r>
      <w:r w:rsidR="008D18EE" w:rsidRPr="000E5CC7">
        <w:rPr>
          <w:rFonts w:ascii="Times New Roman" w:eastAsia="Calibri" w:hAnsi="Times New Roman" w:cs="Times New Roman"/>
          <w:sz w:val="24"/>
          <w:szCs w:val="24"/>
        </w:rPr>
        <w:t xml:space="preserve"> Обработка информации.</w:t>
      </w:r>
      <w:r w:rsidR="000E5CC7">
        <w:rPr>
          <w:rFonts w:ascii="Times New Roman" w:eastAsia="Calibri" w:hAnsi="Times New Roman" w:cs="Times New Roman"/>
          <w:sz w:val="24"/>
          <w:szCs w:val="24"/>
        </w:rPr>
        <w:t xml:space="preserve"> Уровень II</w:t>
      </w:r>
    </w:p>
    <w:p w:rsidR="00336CFB" w:rsidRPr="000E5CC7" w:rsidRDefault="00336CFB" w:rsidP="000E5CC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0E5CC7">
        <w:rPr>
          <w:rFonts w:ascii="Times New Roman" w:eastAsia="Arial Unicode MS" w:hAnsi="Times New Roman" w:cs="Times New Roman"/>
          <w:sz w:val="24"/>
          <w:szCs w:val="24"/>
          <w:lang w:val="ru"/>
        </w:rPr>
        <w:t>43.02.14 Гостиничное дело</w:t>
      </w:r>
    </w:p>
    <w:p w:rsidR="00643247" w:rsidRPr="000E5CC7" w:rsidRDefault="00643247" w:rsidP="000E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E5CC7">
        <w:rPr>
          <w:rFonts w:ascii="Times New Roman" w:eastAsia="Calibri" w:hAnsi="Times New Roman" w:cs="Times New Roman"/>
          <w:sz w:val="24"/>
          <w:szCs w:val="24"/>
        </w:rPr>
        <w:t xml:space="preserve">МДК 02.01 </w:t>
      </w:r>
      <w:r w:rsidRPr="000E5CC7">
        <w:rPr>
          <w:rFonts w:ascii="Times New Roman" w:hAnsi="Times New Roman" w:cs="Times New Roman"/>
          <w:color w:val="000000"/>
          <w:sz w:val="24"/>
          <w:szCs w:val="24"/>
        </w:rPr>
        <w:t>Организация и контроль текущей деятельности сотрудников службы питания</w:t>
      </w:r>
    </w:p>
    <w:p w:rsidR="00336CFB" w:rsidRPr="000E5CC7" w:rsidRDefault="000E5CC7" w:rsidP="000E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643247" w:rsidRPr="000E5CC7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Специальные виды услуг и формы обслуживания</w:t>
      </w:r>
    </w:p>
    <w:p w:rsidR="00FF3259" w:rsidRPr="000E5CC7" w:rsidRDefault="00FF3259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CC7" w:rsidRDefault="00063C0A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C7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0E5CC7" w:rsidRPr="000E5CC7">
        <w:rPr>
          <w:rFonts w:ascii="Times New Roman" w:hAnsi="Times New Roman" w:cs="Times New Roman"/>
          <w:b/>
          <w:sz w:val="24"/>
          <w:szCs w:val="24"/>
        </w:rPr>
        <w:t>и</w:t>
      </w:r>
    </w:p>
    <w:p w:rsidR="00063C0A" w:rsidRPr="000E5CC7" w:rsidRDefault="00063C0A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C7">
        <w:rPr>
          <w:rFonts w:ascii="Times New Roman" w:hAnsi="Times New Roman" w:cs="Times New Roman"/>
          <w:sz w:val="24"/>
          <w:szCs w:val="24"/>
        </w:rPr>
        <w:t>Задание предлагается выполнять с группой во фронтальном режиме в устной форме. П</w:t>
      </w:r>
      <w:r w:rsidRPr="000E5CC7">
        <w:rPr>
          <w:rFonts w:ascii="Times New Roman" w:hAnsi="Times New Roman" w:cs="Times New Roman"/>
          <w:sz w:val="24"/>
          <w:szCs w:val="24"/>
        </w:rPr>
        <w:t>о</w:t>
      </w:r>
      <w:r w:rsidRPr="000E5CC7">
        <w:rPr>
          <w:rFonts w:ascii="Times New Roman" w:hAnsi="Times New Roman" w:cs="Times New Roman"/>
          <w:sz w:val="24"/>
          <w:szCs w:val="24"/>
        </w:rPr>
        <w:t>сле верно сформулированного запроса преподаватель сообщает ответ и дает 1-2 минуты на фо</w:t>
      </w:r>
      <w:r w:rsidRPr="000E5CC7">
        <w:rPr>
          <w:rFonts w:ascii="Times New Roman" w:hAnsi="Times New Roman" w:cs="Times New Roman"/>
          <w:sz w:val="24"/>
          <w:szCs w:val="24"/>
        </w:rPr>
        <w:t>р</w:t>
      </w:r>
      <w:r w:rsidRPr="000E5CC7">
        <w:rPr>
          <w:rFonts w:ascii="Times New Roman" w:hAnsi="Times New Roman" w:cs="Times New Roman"/>
          <w:sz w:val="24"/>
          <w:szCs w:val="24"/>
        </w:rPr>
        <w:t xml:space="preserve">мулировку следующего вопроса или совета. </w:t>
      </w:r>
      <w:r w:rsidR="008D18EE" w:rsidRPr="000E5CC7">
        <w:rPr>
          <w:rFonts w:ascii="Times New Roman" w:hAnsi="Times New Roman" w:cs="Times New Roman"/>
          <w:sz w:val="24"/>
          <w:szCs w:val="24"/>
        </w:rPr>
        <w:t>Алгоритм работы представлен в карте собесе</w:t>
      </w:r>
      <w:r w:rsidR="008D18EE" w:rsidRPr="000E5CC7">
        <w:rPr>
          <w:rFonts w:ascii="Times New Roman" w:hAnsi="Times New Roman" w:cs="Times New Roman"/>
          <w:sz w:val="24"/>
          <w:szCs w:val="24"/>
        </w:rPr>
        <w:t>д</w:t>
      </w:r>
      <w:r w:rsidR="008D18EE" w:rsidRPr="000E5CC7">
        <w:rPr>
          <w:rFonts w:ascii="Times New Roman" w:hAnsi="Times New Roman" w:cs="Times New Roman"/>
          <w:sz w:val="24"/>
          <w:szCs w:val="24"/>
        </w:rPr>
        <w:t>ника для преподавателя.</w:t>
      </w:r>
    </w:p>
    <w:p w:rsidR="00D15ED9" w:rsidRDefault="00D15ED9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CC7" w:rsidRPr="000E5CC7" w:rsidRDefault="000E5CC7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ED9" w:rsidRPr="000E5CC7" w:rsidRDefault="000B4F35" w:rsidP="000E5CC7">
      <w:pPr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К 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в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ам 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обратился 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за советом ваш приятель.</w:t>
      </w:r>
    </w:p>
    <w:p w:rsidR="000B4F35" w:rsidRPr="000E5CC7" w:rsidRDefault="00D15ED9" w:rsidP="000E5CC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н работает в небольшой фирме, которая решила организовать банкет для своих партнеров из другого региона после проведения переговоров. Фирма забронировала места в гостинице, спланировала программу переговоров и 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заранее 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заказала банкет в ресторане го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тиницы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, внеся предоплату. При заказе банкета фирма исходила из того, что на банкете может присутствовать до</w:t>
      </w:r>
      <w:r w:rsidR="003F052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20 человек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</w:t>
      </w:r>
      <w:r w:rsidR="008D18EE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Позже выяснилось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что никто 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из партнеров 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не сможет при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хать по объективным причинам. В ресторане 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согласились отменить 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заказ на банкет, 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сообщ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и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ли, что претензий не имеют, 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однако</w:t>
      </w:r>
      <w:r w:rsidR="00FF325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отказались </w:t>
      </w:r>
      <w:r w:rsidR="0054609D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вернуть предоплату</w:t>
      </w:r>
      <w:r w:rsidR="00FF325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сославшись на </w:t>
      </w:r>
      <w:r w:rsidR="00F61550" w:rsidRPr="000E5C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 РФ от 07.02.1992</w:t>
      </w:r>
      <w:r w:rsidR="000E5CC7" w:rsidRPr="000E5C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 2300-1 (ред. от 24.04.2020) «</w:t>
      </w:r>
      <w:r w:rsidR="00F61550" w:rsidRPr="000E5C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защите прав потребителей</w:t>
      </w:r>
      <w:r w:rsid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D15ED9" w:rsidRPr="000E5CC7" w:rsidRDefault="00D15ED9" w:rsidP="000E5CC7">
      <w:pPr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Поскольку приятель выступал организатором несостоявшегося мероприятия, он чу</w:t>
      </w:r>
      <w:r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ствует с</w:t>
      </w:r>
      <w:r w:rsidR="008D18EE"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r w:rsidRPr="000E5CC7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бя виноватым и хотел бы вынудить ресторан вернуть предоплату.</w:t>
      </w:r>
    </w:p>
    <w:p w:rsidR="000B4F35" w:rsidRPr="000E5CC7" w:rsidRDefault="00FF3259" w:rsidP="000E5CC7">
      <w:pPr>
        <w:spacing w:after="0" w:line="240" w:lineRule="auto"/>
        <w:ind w:firstLine="70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Бегло просмотри</w:t>
      </w:r>
      <w:r w:rsidR="009B1F8F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8D18EE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источник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</w:t>
      </w:r>
    </w:p>
    <w:p w:rsidR="000B4F35" w:rsidRPr="000E5CC7" w:rsidRDefault="008D18EE" w:rsidP="000E5CC7">
      <w:pPr>
        <w:spacing w:after="0" w:line="240" w:lineRule="auto"/>
        <w:ind w:firstLine="709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Сформулируйте совет приятелю или задайте ему вопрос, ответ на который по</w:t>
      </w:r>
      <w:r w:rsidRPr="000E5CC7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з</w:t>
      </w:r>
      <w:r w:rsidRPr="000E5CC7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волит вам сформулировать совет.</w:t>
      </w:r>
    </w:p>
    <w:p w:rsidR="000B4F35" w:rsidRPr="000E5CC7" w:rsidRDefault="000B4F35" w:rsidP="000E5CC7">
      <w:pPr>
        <w:spacing w:after="0" w:line="240" w:lineRule="auto"/>
        <w:ind w:firstLine="70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На выполнение задания отводится </w:t>
      </w:r>
      <w:r w:rsidR="00D25F80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7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минут.</w:t>
      </w:r>
      <w:r w:rsidR="008D18EE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По сигналу преподавателя будьте готовы устно изложить совет или задать вопрос.</w:t>
      </w:r>
    </w:p>
    <w:p w:rsidR="009B1F8F" w:rsidRPr="000E5CC7" w:rsidRDefault="009B1F8F" w:rsidP="000E5C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Helvetica Neue" w:hAnsi="Times New Roman" w:cs="Times New Roman"/>
          <w:i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Источник 1</w:t>
      </w:r>
    </w:p>
    <w:p w:rsidR="008D18EE" w:rsidRPr="000E5CC7" w:rsidRDefault="009C16C2" w:rsidP="000E5CC7">
      <w:pPr>
        <w:shd w:val="clear" w:color="auto" w:fill="FFFFFF"/>
        <w:spacing w:after="0" w:line="240" w:lineRule="auto"/>
        <w:jc w:val="center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* * *</w:t>
      </w:r>
    </w:p>
    <w:p w:rsidR="004867FA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В преддверии праздников многие заранее заказывают организацию и проведение ба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н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кетов, корпоративных встреч, праздничных ужинов и других подобных мероприятий. При оформлении таких заказов заведения общественного питания (рестораны, кафе, бары и пр.) требуют внесения предварительной оплаты (аванса).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В ряде случаев заведения общественн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го питания предлагают оформить договор, в котором четко указать обязательства сторон, и даже согласовать меню как приложение такого договора. В таких договорах стороны, как правило, устанавливают санкции в отношении друг друга за неисполнение (ненадлежащее исполнение) обязательств. В других случаях договор не подписывается, а заказчик и испо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л</w:t>
      </w:r>
      <w:r w:rsidR="00D15ED9"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нитель услуги общественного питания считаются вступившими в договорные отношения по факту оформления заказа и \ или внесения предоплаты.</w:t>
      </w:r>
    </w:p>
    <w:p w:rsidR="00FA78F0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>Однако иногда случаются обстоятельства, из-за которых от торжества приходится 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казаться. При этом в возврате внесенной предоплаты сотрудники заведений, как правило, гражданам отказывают.</w:t>
      </w:r>
    </w:p>
    <w:p w:rsidR="00FA78F0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Право потребителя на отказ от договора об оказании услуг предусмотрено положен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и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ями Гражданского кодекса РФ, Закона РФ от 7 февраля 1992 г. № 2300-I «О защите прав п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требителей» (далее -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Закон РФ «О защите прав потребителей), а также Правилами оказания услуг общественного питания (утв. постановлением Правительства РФ от 15 августа 1997 г. № 1036).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proofErr w:type="gramStart"/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В соответствии с п. 1 ст. 782 Гражданского кодекса РФ, ст. 32 Закона РФ «О защите прав потребителей» и п. 27 Правил оказания услуг общественного питания (утв. постановл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нием Правительства РФ от 15 августа 1997 г. № 1036) потребитель вправе в любое время 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казаться от заказанной им услуги при условии оплаты исполнителю фактически понесенных им расходов, связанных с исполнением обязательств по данному</w:t>
      </w:r>
      <w:proofErr w:type="gramEnd"/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договору.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Потребитель вправе отказаться от услуги в любое время, как до начала ее оказания, так и в процессе, то есть до момента полного ее исполнения, без объяснения причин такого отказа.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 фактически понесенным расходам могут быть отнесены расходы, понесенные зав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дением общественного питания в связи с организацией и проведением банкета и подтве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р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жденные надлежащими доказательствами. Например, к таким расходам могут относиться стоимость использованных продуктов питания, стоимость работ и услуг персонала кафе и т.д.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Если при заказе банкета количество присутствующих гостей, меню и прочие условия не обговаривались, скорее всего, никаких расходов заведение не понесло и, соответственно, обязано возвратить потребителю сумму внесенной предоплаты без каких-либо удержаний.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Стоит отметить, что условия договора об оказании услуг (заказа, квитанции и др. д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кументов) об удержании внесенной потребителем суммы предварительной оплаты (или ее части) в качестве штрафных санкций в случае отказа от услуг ущемляют установленные з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конодательством права потребителя и на основании ст. 16 Закона РФ «О защите прав потр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бителей» признаются недействительными.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Если потребитель решил отказаться от заказанного банкета ему необходимо обр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титься в заведение общественного питания с соответствующим письменным заявлением, с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ставленным в двух экземплярах. Один экземпляр вручается сотрудникам, другой остаётся у потребителя с отметкой о дате вручения и печатью организации. Если вручить заявление лично не представляется возможным, то его можно отправить заказным письмом с уведо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м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лением на адрес хозяйствующего субъекта.</w:t>
      </w:r>
    </w:p>
    <w:p w:rsidR="009B1F8F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Указанное заявление подлежит рассмотрению в течение 7 дней (ст. 314 Гражданского кодекса РФ).</w:t>
      </w:r>
      <w:bookmarkStart w:id="0" w:name="_GoBack"/>
      <w:bookmarkEnd w:id="0"/>
    </w:p>
    <w:p w:rsidR="004867FA" w:rsidRPr="000E5CC7" w:rsidRDefault="004867FA" w:rsidP="000E5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В случае неудовлетворения требования потребителя в добровольном досудебном п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рядке, он вправе обратиться с иском в суд для разрешения спора в рамках гражданского с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у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допроизводства (ст. 11 Гражданского кодекса РФ, ст. 17 Закона РФ «О защите прав потреб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и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телей»).</w:t>
      </w:r>
    </w:p>
    <w:p w:rsidR="000E5CC7" w:rsidRDefault="00A7123D" w:rsidP="000E5CC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5CC7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0E5CC7">
        <w:rPr>
          <w:rFonts w:ascii="Times New Roman" w:hAnsi="Times New Roman" w:cs="Times New Roman"/>
          <w:i/>
          <w:sz w:val="20"/>
          <w:szCs w:val="20"/>
        </w:rPr>
        <w:t>:</w:t>
      </w:r>
    </w:p>
    <w:p w:rsidR="00A73CED" w:rsidRPr="000E5CC7" w:rsidRDefault="000E5CC7" w:rsidP="000E5CC7">
      <w:pPr>
        <w:spacing w:after="0" w:line="240" w:lineRule="auto"/>
        <w:jc w:val="right"/>
        <w:rPr>
          <w:rFonts w:ascii="Times New Roman" w:eastAsia="Helvetica Neue" w:hAnsi="Times New Roman" w:cs="Times New Roman"/>
          <w:i/>
          <w:color w:val="000000"/>
          <w:sz w:val="20"/>
          <w:szCs w:val="20"/>
          <w:highlight w:val="cyan"/>
          <w:u w:val="single"/>
        </w:rPr>
      </w:pPr>
      <w:hyperlink r:id="rId6" w:history="1">
        <w:r w:rsidRPr="000E5CC7">
          <w:rPr>
            <w:rStyle w:val="a3"/>
            <w:rFonts w:ascii="Times New Roman" w:hAnsi="Times New Roman" w:cs="Times New Roman"/>
            <w:i/>
            <w:sz w:val="20"/>
            <w:szCs w:val="20"/>
            <w:u w:val="single"/>
          </w:rPr>
          <w:t>http://www.fguz-tver.ru/zashchita-prav-potrebitelej/publikatsii/2016-12-12-06-31-26.html</w:t>
        </w:r>
      </w:hyperlink>
    </w:p>
    <w:p w:rsidR="00D25F80" w:rsidRPr="000E5CC7" w:rsidRDefault="00D25F80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EE" w:rsidRPr="000E5CC7" w:rsidRDefault="008D18EE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5CC7">
        <w:rPr>
          <w:rFonts w:ascii="Times New Roman" w:hAnsi="Times New Roman" w:cs="Times New Roman"/>
          <w:sz w:val="24"/>
          <w:szCs w:val="24"/>
          <w:u w:val="single"/>
        </w:rPr>
        <w:t>Карта собеседника</w:t>
      </w:r>
    </w:p>
    <w:p w:rsidR="008D18EE" w:rsidRPr="000E5CC7" w:rsidRDefault="008D18EE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 истечении 7 минут следует попросить поднять руки тех, кто готов дать совет. З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тем </w:t>
      </w:r>
      <w:r w:rsid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-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тех, кто готов сформулировать вопрос.</w:t>
      </w:r>
    </w:p>
    <w:p w:rsidR="001D5196" w:rsidRPr="000E5CC7" w:rsidRDefault="008D18EE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Следует выслушать первый совет (обучающийся</w:t>
      </w:r>
      <w:r w:rsid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выбирается случайным образом).</w:t>
      </w:r>
    </w:p>
    <w:p w:rsidR="001D5196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Попросить поднять руки тех, чей совет отличается по содержанию. Выслушать сл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дующий совет. Завершить цикл, когда советов не останется.</w:t>
      </w:r>
    </w:p>
    <w:p w:rsidR="001D5196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Следует выслушать первый вопрос (обучающийся выбирается случайным обр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зом). </w:t>
      </w:r>
    </w:p>
    <w:p w:rsidR="001D5196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Попросить поднять руки тех, чей в</w:t>
      </w:r>
      <w:r w:rsid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опрос отличается по содержанию.</w:t>
      </w:r>
    </w:p>
    <w:p w:rsidR="001D5196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>Если вопрос, заданный на шаге 4, не является верным ответом, попросить задать в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прос одного из обучающихся, анонсировавших, что их вопрос содержательно отлич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ется. Если вопрос, заданный на шаге 4, является верным ответом, завершить цикл, дав ответ на вопрос.</w:t>
      </w:r>
    </w:p>
    <w:p w:rsidR="001D5196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Объявить о том, что на подготовку совета или следующего вопроса отводится 1 (2) минута.</w:t>
      </w:r>
    </w:p>
    <w:p w:rsidR="008D18EE" w:rsidRPr="000E5CC7" w:rsidRDefault="001D5196" w:rsidP="000E5C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Повторить цикл.</w:t>
      </w:r>
    </w:p>
    <w:p w:rsidR="001D5196" w:rsidRPr="000E5CC7" w:rsidRDefault="001D5196" w:rsidP="000E5CC7">
      <w:pPr>
        <w:pStyle w:val="a6"/>
        <w:shd w:val="clear" w:color="auto" w:fill="FFFFFF"/>
        <w:spacing w:after="0" w:line="240" w:lineRule="auto"/>
        <w:ind w:left="1069"/>
        <w:contextualSpacing w:val="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26"/>
        <w:gridCol w:w="3969"/>
        <w:gridCol w:w="992"/>
        <w:gridCol w:w="3367"/>
      </w:tblGrid>
      <w:tr w:rsidR="001D5196" w:rsidRPr="000E5CC7" w:rsidTr="000E5CC7">
        <w:tc>
          <w:tcPr>
            <w:tcW w:w="1526" w:type="dxa"/>
            <w:vAlign w:val="center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Вопрос 1</w:t>
            </w:r>
          </w:p>
        </w:tc>
        <w:tc>
          <w:tcPr>
            <w:tcW w:w="3969" w:type="dxa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Был ли заключен договор на пров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е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дение бан</w:t>
            </w:r>
            <w:r w:rsid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кета (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включающий сан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к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ции, о которых договорились ст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роны на случай расторжения дог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вора)</w:t>
            </w:r>
          </w:p>
        </w:tc>
        <w:tc>
          <w:tcPr>
            <w:tcW w:w="992" w:type="dxa"/>
            <w:vAlign w:val="center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Нет, не был</w:t>
            </w:r>
          </w:p>
        </w:tc>
      </w:tr>
      <w:tr w:rsidR="001D5196" w:rsidRPr="000E5CC7" w:rsidTr="000E5CC7">
        <w:tc>
          <w:tcPr>
            <w:tcW w:w="1526" w:type="dxa"/>
            <w:vAlign w:val="center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Вопрос 2*</w:t>
            </w:r>
          </w:p>
        </w:tc>
        <w:tc>
          <w:tcPr>
            <w:tcW w:w="3969" w:type="dxa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За какой срок до проведения банк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е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та приятель от имени фирмы отк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а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зался от его проведения</w:t>
            </w:r>
          </w:p>
        </w:tc>
        <w:tc>
          <w:tcPr>
            <w:tcW w:w="992" w:type="dxa"/>
            <w:vAlign w:val="center"/>
          </w:tcPr>
          <w:p w:rsidR="001D5196" w:rsidRPr="000E5CC7" w:rsidRDefault="001D5196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1D5196" w:rsidRPr="000E5CC7" w:rsidRDefault="00217FEF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За 36 часов</w:t>
            </w:r>
          </w:p>
        </w:tc>
      </w:tr>
      <w:tr w:rsidR="00217FEF" w:rsidRPr="000E5CC7" w:rsidTr="000E5CC7">
        <w:tc>
          <w:tcPr>
            <w:tcW w:w="1526" w:type="dxa"/>
            <w:vAlign w:val="center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Вопрос 3*</w:t>
            </w:r>
          </w:p>
        </w:tc>
        <w:tc>
          <w:tcPr>
            <w:tcW w:w="3969" w:type="dxa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Было ли при внесении предоплаты оговорено меню, указано точное количество гостей, дополнительные условия</w:t>
            </w:r>
          </w:p>
        </w:tc>
        <w:tc>
          <w:tcPr>
            <w:tcW w:w="992" w:type="dxa"/>
            <w:vAlign w:val="center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Нет, были заказаны мин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е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ральная вода, четыре холо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д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ные закуски на общий стол и все.</w:t>
            </w:r>
          </w:p>
          <w:p w:rsidR="00217FEF" w:rsidRPr="000E5CC7" w:rsidRDefault="00217FEF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По количеству было оговор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е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но</w:t>
            </w:r>
            <w:r w:rsid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, что максимальное число гостей -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 20 человек, ми</w:t>
            </w:r>
            <w:r w:rsid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нимум не обсуждался</w:t>
            </w:r>
          </w:p>
        </w:tc>
      </w:tr>
      <w:tr w:rsidR="00A7123D" w:rsidRPr="000E5CC7" w:rsidTr="000E5CC7">
        <w:trPr>
          <w:trHeight w:val="1404"/>
        </w:trPr>
        <w:tc>
          <w:tcPr>
            <w:tcW w:w="1526" w:type="dxa"/>
            <w:vMerge w:val="restart"/>
            <w:vAlign w:val="center"/>
          </w:tcPr>
          <w:p w:rsidR="00A7123D" w:rsidRPr="000E5CC7" w:rsidRDefault="00A7123D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Вопрос 4</w:t>
            </w:r>
          </w:p>
        </w:tc>
        <w:tc>
          <w:tcPr>
            <w:tcW w:w="3969" w:type="dxa"/>
            <w:tcBorders>
              <w:bottom w:val="nil"/>
            </w:tcBorders>
          </w:tcPr>
          <w:p w:rsidR="00A7123D" w:rsidRPr="000E5CC7" w:rsidRDefault="00A7123D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Предъявил ли представитель рест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рана какие-либо документы, свид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е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тельствующие о понесенных в пр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цессе подготовки к банкету расх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дах и данных обязательствах </w:t>
            </w:r>
          </w:p>
        </w:tc>
        <w:tc>
          <w:tcPr>
            <w:tcW w:w="992" w:type="dxa"/>
            <w:vMerge w:val="restart"/>
            <w:vAlign w:val="center"/>
          </w:tcPr>
          <w:p w:rsidR="00A7123D" w:rsidRPr="000E5CC7" w:rsidRDefault="00A7123D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3367" w:type="dxa"/>
            <w:tcBorders>
              <w:bottom w:val="nil"/>
            </w:tcBorders>
          </w:tcPr>
          <w:p w:rsidR="00A7123D" w:rsidRPr="000E5CC7" w:rsidRDefault="00A7123D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Нет, но никто и не просил</w:t>
            </w:r>
          </w:p>
        </w:tc>
      </w:tr>
      <w:tr w:rsidR="00A7123D" w:rsidRPr="000E5CC7" w:rsidTr="000E5CC7">
        <w:trPr>
          <w:trHeight w:val="252"/>
        </w:trPr>
        <w:tc>
          <w:tcPr>
            <w:tcW w:w="1526" w:type="dxa"/>
            <w:vMerge/>
            <w:vAlign w:val="center"/>
          </w:tcPr>
          <w:p w:rsidR="00A7123D" w:rsidRPr="000E5CC7" w:rsidRDefault="00A7123D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7123D" w:rsidRPr="000E5CC7" w:rsidRDefault="00A7123D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Понес ли исполнитель какие-либо затраты</w:t>
            </w:r>
          </w:p>
        </w:tc>
        <w:tc>
          <w:tcPr>
            <w:tcW w:w="992" w:type="dxa"/>
            <w:vMerge/>
            <w:vAlign w:val="center"/>
          </w:tcPr>
          <w:p w:rsidR="00A7123D" w:rsidRPr="000E5CC7" w:rsidRDefault="00A7123D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A7123D" w:rsidRPr="000E5CC7" w:rsidRDefault="00A7123D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Неизвестно</w:t>
            </w:r>
          </w:p>
        </w:tc>
      </w:tr>
      <w:tr w:rsidR="00217FEF" w:rsidRPr="000E5CC7" w:rsidTr="000E5CC7">
        <w:tc>
          <w:tcPr>
            <w:tcW w:w="1526" w:type="dxa"/>
            <w:vAlign w:val="center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328" w:type="dxa"/>
            <w:gridSpan w:val="3"/>
          </w:tcPr>
          <w:p w:rsidR="00217FEF" w:rsidRPr="000E5CC7" w:rsidRDefault="00217FEF" w:rsidP="000E5CC7">
            <w:pPr>
              <w:pStyle w:val="a6"/>
              <w:ind w:left="0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Написать в адрес ресторана (1) запрос \ требование \ письмо с просьбой (д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кументально) подтвердить понесенные расходы</w:t>
            </w:r>
            <w:r w:rsidR="00A7123D"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расходы, связанные с да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ными обязательствами</w:t>
            </w:r>
            <w:r w:rsidR="00A7123D"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)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7123D"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2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) и возвратить часть предоплаты, превышающую сумму расходов (</w:t>
            </w:r>
            <w:r w:rsidR="00A7123D"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3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) в 7-дневный срок (</w:t>
            </w:r>
            <w:r w:rsidR="00A7123D"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4</w:t>
            </w:r>
            <w:r w:rsidRPr="000E5C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17FEF" w:rsidRPr="000E5CC7" w:rsidRDefault="00217FEF" w:rsidP="000E5CC7">
      <w:pPr>
        <w:shd w:val="clear" w:color="auto" w:fill="FFFFFF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E5CC7">
        <w:rPr>
          <w:rFonts w:ascii="Times New Roman" w:eastAsia="Helvetica Neue" w:hAnsi="Times New Roman" w:cs="Times New Roman"/>
          <w:color w:val="000000"/>
          <w:sz w:val="24"/>
          <w:szCs w:val="24"/>
        </w:rPr>
        <w:t>* Вопросы могут следовать в обратном порядке.</w:t>
      </w:r>
    </w:p>
    <w:p w:rsidR="00217FEF" w:rsidRPr="000E5CC7" w:rsidRDefault="00217FEF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0BF7" w:rsidRPr="000E5CC7" w:rsidRDefault="00FF3259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5CC7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F3259" w:rsidRPr="000E5CC7" w:rsidRDefault="00FF3259" w:rsidP="000E5CC7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11"/>
        <w:gridCol w:w="2543"/>
      </w:tblGrid>
      <w:tr w:rsidR="00D25F80" w:rsidRPr="000E5CC7" w:rsidTr="000E5CC7">
        <w:tc>
          <w:tcPr>
            <w:tcW w:w="7338" w:type="dxa"/>
          </w:tcPr>
          <w:p w:rsidR="00D25F80" w:rsidRPr="000E5CC7" w:rsidRDefault="00217FEF" w:rsidP="000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sz w:val="24"/>
                <w:szCs w:val="24"/>
              </w:rPr>
              <w:t>За каждый верно поставленный вопрос</w:t>
            </w:r>
          </w:p>
        </w:tc>
        <w:tc>
          <w:tcPr>
            <w:tcW w:w="2551" w:type="dxa"/>
          </w:tcPr>
          <w:p w:rsidR="00D25F80" w:rsidRPr="000E5CC7" w:rsidRDefault="00217FEF" w:rsidP="000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F80" w:rsidRPr="000E5CC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25F80" w:rsidRPr="000E5CC7" w:rsidTr="000E5CC7">
        <w:tc>
          <w:tcPr>
            <w:tcW w:w="7338" w:type="dxa"/>
          </w:tcPr>
          <w:p w:rsidR="00D25F80" w:rsidRPr="000E5CC7" w:rsidRDefault="00217FEF" w:rsidP="000E5CC7">
            <w:pPr>
              <w:ind w:left="1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</w:tcPr>
          <w:p w:rsidR="00D25F80" w:rsidRPr="000E5CC7" w:rsidRDefault="00217FEF" w:rsidP="000E5CC7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A7123D" w:rsidRPr="000E5CC7" w:rsidTr="000E5CC7">
        <w:tc>
          <w:tcPr>
            <w:tcW w:w="7338" w:type="dxa"/>
          </w:tcPr>
          <w:p w:rsidR="00A7123D" w:rsidRPr="000E5CC7" w:rsidRDefault="00A7123D" w:rsidP="000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sz w:val="24"/>
                <w:szCs w:val="24"/>
              </w:rPr>
              <w:t>За каждый верный элемент совета</w:t>
            </w:r>
          </w:p>
        </w:tc>
        <w:tc>
          <w:tcPr>
            <w:tcW w:w="2551" w:type="dxa"/>
          </w:tcPr>
          <w:p w:rsidR="00A7123D" w:rsidRPr="000E5CC7" w:rsidRDefault="00A7123D" w:rsidP="000E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23D" w:rsidRPr="000E5CC7" w:rsidTr="000E5CC7">
        <w:tc>
          <w:tcPr>
            <w:tcW w:w="7338" w:type="dxa"/>
          </w:tcPr>
          <w:p w:rsidR="00A7123D" w:rsidRPr="000E5CC7" w:rsidRDefault="00A7123D" w:rsidP="000E5CC7">
            <w:pPr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1" w:type="dxa"/>
          </w:tcPr>
          <w:p w:rsidR="00A7123D" w:rsidRPr="000E5CC7" w:rsidRDefault="00A7123D" w:rsidP="000E5CC7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A7123D" w:rsidRPr="000E5CC7" w:rsidTr="000E5CC7">
        <w:tc>
          <w:tcPr>
            <w:tcW w:w="7338" w:type="dxa"/>
          </w:tcPr>
          <w:p w:rsidR="00A7123D" w:rsidRPr="000E5CC7" w:rsidRDefault="00A7123D" w:rsidP="000E5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</w:tcPr>
          <w:p w:rsidR="00A7123D" w:rsidRPr="000E5CC7" w:rsidRDefault="00A7123D" w:rsidP="000E5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C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380BF7" w:rsidRPr="000E5CC7" w:rsidRDefault="00380BF7" w:rsidP="000E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BF7" w:rsidRPr="000E5CC7" w:rsidSect="00FF3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2A9"/>
    <w:multiLevelType w:val="hybridMultilevel"/>
    <w:tmpl w:val="79D8D8F2"/>
    <w:lvl w:ilvl="0" w:tplc="F4248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F75E5"/>
    <w:multiLevelType w:val="hybridMultilevel"/>
    <w:tmpl w:val="9A18066C"/>
    <w:lvl w:ilvl="0" w:tplc="CDCA6FC6">
      <w:start w:val="1"/>
      <w:numFmt w:val="bullet"/>
      <w:lvlText w:val=""/>
      <w:lvlJc w:val="left"/>
      <w:pPr>
        <w:ind w:left="720" w:hanging="360"/>
      </w:pPr>
      <w:rPr>
        <w:rFonts w:ascii="Symbol" w:eastAsia="Helvetica Neu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76B8"/>
    <w:multiLevelType w:val="hybridMultilevel"/>
    <w:tmpl w:val="A0B6E5D4"/>
    <w:lvl w:ilvl="0" w:tplc="583A3F24">
      <w:numFmt w:val="bullet"/>
      <w:lvlText w:val="•"/>
      <w:lvlJc w:val="left"/>
      <w:pPr>
        <w:ind w:left="1579" w:hanging="870"/>
      </w:pPr>
      <w:rPr>
        <w:rFonts w:ascii="Times New Roman" w:eastAsia="Helvetica Neu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9429D8"/>
    <w:multiLevelType w:val="hybridMultilevel"/>
    <w:tmpl w:val="E540636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AC2C47"/>
    <w:multiLevelType w:val="hybridMultilevel"/>
    <w:tmpl w:val="BBD0ADC6"/>
    <w:lvl w:ilvl="0" w:tplc="FA0C37E6">
      <w:numFmt w:val="bullet"/>
      <w:lvlText w:val="•"/>
      <w:lvlJc w:val="left"/>
      <w:pPr>
        <w:ind w:left="1609" w:hanging="900"/>
      </w:pPr>
      <w:rPr>
        <w:rFonts w:ascii="Times New Roman" w:eastAsia="Helvetica Neu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377931"/>
    <w:multiLevelType w:val="hybridMultilevel"/>
    <w:tmpl w:val="3DA086C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D23DDA"/>
    <w:multiLevelType w:val="hybridMultilevel"/>
    <w:tmpl w:val="34D2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F5BBF"/>
    <w:multiLevelType w:val="hybridMultilevel"/>
    <w:tmpl w:val="E6ACFA8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7"/>
    <w:rsid w:val="00063C0A"/>
    <w:rsid w:val="000B4F35"/>
    <w:rsid w:val="000E5CC7"/>
    <w:rsid w:val="001428F5"/>
    <w:rsid w:val="001D5196"/>
    <w:rsid w:val="00217FEF"/>
    <w:rsid w:val="002727A8"/>
    <w:rsid w:val="00336CFB"/>
    <w:rsid w:val="003538AC"/>
    <w:rsid w:val="003721CD"/>
    <w:rsid w:val="00380BF7"/>
    <w:rsid w:val="003F052D"/>
    <w:rsid w:val="004867FA"/>
    <w:rsid w:val="0054609D"/>
    <w:rsid w:val="005C457E"/>
    <w:rsid w:val="006012B4"/>
    <w:rsid w:val="00624E27"/>
    <w:rsid w:val="00643247"/>
    <w:rsid w:val="00750077"/>
    <w:rsid w:val="007A4D87"/>
    <w:rsid w:val="008A5095"/>
    <w:rsid w:val="008D18EE"/>
    <w:rsid w:val="008E156F"/>
    <w:rsid w:val="00981BA6"/>
    <w:rsid w:val="009B1F8F"/>
    <w:rsid w:val="009C16C2"/>
    <w:rsid w:val="009E0CCC"/>
    <w:rsid w:val="00A7123D"/>
    <w:rsid w:val="00A73CED"/>
    <w:rsid w:val="00AF702E"/>
    <w:rsid w:val="00BE1111"/>
    <w:rsid w:val="00C87150"/>
    <w:rsid w:val="00D15ED9"/>
    <w:rsid w:val="00D25F80"/>
    <w:rsid w:val="00D553BA"/>
    <w:rsid w:val="00DB18AC"/>
    <w:rsid w:val="00ED2A23"/>
    <w:rsid w:val="00F61550"/>
    <w:rsid w:val="00F92C6C"/>
    <w:rsid w:val="00FA78F0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F0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F7"/>
    <w:rPr>
      <w:color w:val="0000FF"/>
      <w:u w:val="none"/>
    </w:rPr>
  </w:style>
  <w:style w:type="paragraph" w:styleId="a4">
    <w:name w:val="Normal (Web)"/>
    <w:uiPriority w:val="99"/>
    <w:unhideWhenUsed/>
    <w:rsid w:val="00380B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FF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32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5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F0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063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F0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F7"/>
    <w:rPr>
      <w:color w:val="0000FF"/>
      <w:u w:val="none"/>
    </w:rPr>
  </w:style>
  <w:style w:type="paragraph" w:styleId="a4">
    <w:name w:val="Normal (Web)"/>
    <w:uiPriority w:val="99"/>
    <w:unhideWhenUsed/>
    <w:rsid w:val="00380B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FF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32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5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F0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063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uz-tver.ru/zashchita-prav-potrebitelej/publikatsii/2016-12-12-06-31-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3</cp:revision>
  <dcterms:created xsi:type="dcterms:W3CDTF">2020-08-05T08:58:00Z</dcterms:created>
  <dcterms:modified xsi:type="dcterms:W3CDTF">2020-08-05T12:19:00Z</dcterms:modified>
</cp:coreProperties>
</file>