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3" w:rsidRPr="006E053C" w:rsidRDefault="00C46B43" w:rsidP="00C46B43">
      <w:pPr>
        <w:ind w:left="2552"/>
        <w:rPr>
          <w:rFonts w:ascii="Calibri" w:hAnsi="Calibri" w:cs="Calibri"/>
          <w:sz w:val="20"/>
          <w:szCs w:val="20"/>
        </w:rPr>
      </w:pPr>
      <w:r w:rsidRPr="006E053C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6E053C">
        <w:rPr>
          <w:rFonts w:ascii="Calibri" w:hAnsi="Calibri" w:cs="Calibri"/>
          <w:sz w:val="20"/>
          <w:szCs w:val="20"/>
        </w:rPr>
        <w:t>а</w:t>
      </w:r>
      <w:r w:rsidRPr="006E053C">
        <w:rPr>
          <w:rFonts w:ascii="Calibri" w:hAnsi="Calibri" w:cs="Calibri"/>
          <w:sz w:val="20"/>
          <w:szCs w:val="20"/>
        </w:rPr>
        <w:t>зовательных ресурсов» «</w:t>
      </w:r>
      <w:proofErr w:type="gramStart"/>
      <w:r w:rsidRPr="006E053C">
        <w:rPr>
          <w:rFonts w:ascii="Calibri" w:hAnsi="Calibri" w:cs="Calibri"/>
          <w:sz w:val="20"/>
          <w:szCs w:val="20"/>
        </w:rPr>
        <w:t>Кадровый</w:t>
      </w:r>
      <w:proofErr w:type="gramEnd"/>
      <w:r w:rsidRPr="006E053C">
        <w:rPr>
          <w:rFonts w:ascii="Calibri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6E053C">
        <w:rPr>
          <w:rFonts w:ascii="Calibri" w:hAnsi="Calibri" w:cs="Calibri"/>
          <w:sz w:val="20"/>
          <w:szCs w:val="20"/>
        </w:rPr>
        <w:t>н</w:t>
      </w:r>
      <w:r w:rsidRPr="006E053C">
        <w:rPr>
          <w:rFonts w:ascii="Calibri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C46B43" w:rsidRPr="00C46B43" w:rsidRDefault="00C46B43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C46B43">
        <w:rPr>
          <w:rFonts w:ascii="Times New Roman" w:hAnsi="Times New Roman" w:cs="Times New Roman"/>
          <w:sz w:val="24"/>
          <w:szCs w:val="24"/>
        </w:rPr>
        <w:t xml:space="preserve">: Мартынова Алеся Сергеевна, ГБПОУ СО «Самарский </w:t>
      </w:r>
      <w:proofErr w:type="gramStart"/>
      <w:r w:rsidRPr="00C46B43">
        <w:rPr>
          <w:rFonts w:ascii="Times New Roman" w:hAnsi="Times New Roman" w:cs="Times New Roman"/>
          <w:sz w:val="24"/>
          <w:szCs w:val="24"/>
        </w:rPr>
        <w:t>политехнический</w:t>
      </w:r>
      <w:proofErr w:type="gramEnd"/>
      <w:r w:rsidRPr="00C46B43">
        <w:rPr>
          <w:rFonts w:ascii="Times New Roman" w:hAnsi="Times New Roman" w:cs="Times New Roman"/>
          <w:sz w:val="24"/>
          <w:szCs w:val="24"/>
        </w:rPr>
        <w:t xml:space="preserve"> ко</w:t>
      </w:r>
      <w:r w:rsidRPr="00C46B43">
        <w:rPr>
          <w:rFonts w:ascii="Times New Roman" w:hAnsi="Times New Roman" w:cs="Times New Roman"/>
          <w:sz w:val="24"/>
          <w:szCs w:val="24"/>
        </w:rPr>
        <w:t>л</w:t>
      </w:r>
      <w:r w:rsidRPr="00C46B43">
        <w:rPr>
          <w:rFonts w:ascii="Times New Roman" w:hAnsi="Times New Roman" w:cs="Times New Roman"/>
          <w:sz w:val="24"/>
          <w:szCs w:val="24"/>
        </w:rPr>
        <w:t>ледж»</w:t>
      </w:r>
    </w:p>
    <w:p w:rsidR="00DA0258" w:rsidRPr="00C46B43" w:rsidRDefault="00C46B43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t>Курс</w:t>
      </w:r>
      <w:r w:rsidRPr="00C46B43">
        <w:rPr>
          <w:rFonts w:ascii="Times New Roman" w:hAnsi="Times New Roman" w:cs="Times New Roman"/>
          <w:sz w:val="24"/>
          <w:szCs w:val="24"/>
        </w:rPr>
        <w:t xml:space="preserve">: </w:t>
      </w:r>
      <w:r w:rsidR="006663FB" w:rsidRPr="00C46B43">
        <w:rPr>
          <w:rFonts w:ascii="Times New Roman" w:hAnsi="Times New Roman" w:cs="Times New Roman"/>
          <w:sz w:val="24"/>
          <w:szCs w:val="24"/>
        </w:rPr>
        <w:t>Теория государства и права</w:t>
      </w:r>
      <w:r w:rsidR="00DA0258" w:rsidRPr="00C46B43">
        <w:rPr>
          <w:rFonts w:ascii="Times New Roman" w:hAnsi="Times New Roman" w:cs="Times New Roman"/>
          <w:sz w:val="24"/>
          <w:szCs w:val="24"/>
        </w:rPr>
        <w:t xml:space="preserve"> (40.02.01)</w:t>
      </w:r>
    </w:p>
    <w:p w:rsidR="006663FB" w:rsidRPr="00C46B43" w:rsidRDefault="006663FB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t>Тема</w:t>
      </w:r>
      <w:r w:rsidR="00C46B43" w:rsidRPr="00C46B43">
        <w:rPr>
          <w:rFonts w:ascii="Times New Roman" w:hAnsi="Times New Roman" w:cs="Times New Roman"/>
          <w:sz w:val="24"/>
          <w:szCs w:val="24"/>
        </w:rPr>
        <w:t>:</w:t>
      </w:r>
      <w:r w:rsidR="00DD6EE9" w:rsidRPr="00C46B43">
        <w:rPr>
          <w:rFonts w:ascii="Times New Roman" w:hAnsi="Times New Roman" w:cs="Times New Roman"/>
          <w:sz w:val="24"/>
          <w:szCs w:val="24"/>
        </w:rPr>
        <w:t xml:space="preserve"> </w:t>
      </w:r>
      <w:r w:rsidRPr="00C46B43">
        <w:rPr>
          <w:rFonts w:ascii="Times New Roman" w:hAnsi="Times New Roman" w:cs="Times New Roman"/>
          <w:sz w:val="24"/>
          <w:szCs w:val="24"/>
        </w:rPr>
        <w:t>Нормы права</w:t>
      </w:r>
    </w:p>
    <w:p w:rsidR="00106FFF" w:rsidRDefault="00106FFF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8C" w:rsidRPr="00482A8C" w:rsidRDefault="00482A8C" w:rsidP="00C46B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A8C">
        <w:rPr>
          <w:rFonts w:ascii="Times New Roman" w:hAnsi="Times New Roman" w:cs="Times New Roman"/>
          <w:i/>
          <w:sz w:val="24"/>
          <w:szCs w:val="24"/>
        </w:rPr>
        <w:t xml:space="preserve">Комментарии </w:t>
      </w:r>
    </w:p>
    <w:p w:rsidR="00106FFF" w:rsidRPr="00C46B43" w:rsidRDefault="00106FFF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sz w:val="24"/>
          <w:szCs w:val="24"/>
        </w:rPr>
        <w:t xml:space="preserve">Задание выполняется </w:t>
      </w:r>
      <w:r w:rsidR="001F4735" w:rsidRPr="00C46B43">
        <w:rPr>
          <w:rFonts w:ascii="Times New Roman" w:hAnsi="Times New Roman" w:cs="Times New Roman"/>
          <w:sz w:val="24"/>
          <w:szCs w:val="24"/>
        </w:rPr>
        <w:t xml:space="preserve">в начале изучения </w:t>
      </w:r>
      <w:r w:rsidR="00DA0258" w:rsidRPr="00C46B43">
        <w:rPr>
          <w:rFonts w:ascii="Times New Roman" w:hAnsi="Times New Roman" w:cs="Times New Roman"/>
          <w:sz w:val="24"/>
          <w:szCs w:val="24"/>
        </w:rPr>
        <w:t xml:space="preserve"> темы</w:t>
      </w:r>
      <w:r w:rsidRPr="00C46B43">
        <w:rPr>
          <w:rFonts w:ascii="Times New Roman" w:hAnsi="Times New Roman" w:cs="Times New Roman"/>
          <w:sz w:val="24"/>
          <w:szCs w:val="24"/>
        </w:rPr>
        <w:t>.</w:t>
      </w:r>
      <w:r w:rsidR="00DA0258" w:rsidRPr="00C46B43">
        <w:rPr>
          <w:rFonts w:ascii="Times New Roman" w:hAnsi="Times New Roman" w:cs="Times New Roman"/>
          <w:sz w:val="24"/>
          <w:szCs w:val="24"/>
        </w:rPr>
        <w:t xml:space="preserve"> После выполнения задания и предъя</w:t>
      </w:r>
      <w:r w:rsidR="00DA0258" w:rsidRPr="00C46B43">
        <w:rPr>
          <w:rFonts w:ascii="Times New Roman" w:hAnsi="Times New Roman" w:cs="Times New Roman"/>
          <w:sz w:val="24"/>
          <w:szCs w:val="24"/>
        </w:rPr>
        <w:t>в</w:t>
      </w:r>
      <w:r w:rsidR="00DA0258" w:rsidRPr="00C46B43">
        <w:rPr>
          <w:rFonts w:ascii="Times New Roman" w:hAnsi="Times New Roman" w:cs="Times New Roman"/>
          <w:sz w:val="24"/>
          <w:szCs w:val="24"/>
        </w:rPr>
        <w:t>ления обратной связи по его результатам преподавателю рекомендуется рассмотреть н</w:t>
      </w:r>
      <w:r w:rsidR="00DA0258" w:rsidRPr="00C46B43">
        <w:rPr>
          <w:rFonts w:ascii="Times New Roman" w:hAnsi="Times New Roman" w:cs="Times New Roman"/>
          <w:sz w:val="24"/>
          <w:szCs w:val="24"/>
        </w:rPr>
        <w:t>е</w:t>
      </w:r>
      <w:r w:rsidR="00DA0258" w:rsidRPr="00C46B43">
        <w:rPr>
          <w:rFonts w:ascii="Times New Roman" w:hAnsi="Times New Roman" w:cs="Times New Roman"/>
          <w:sz w:val="24"/>
          <w:szCs w:val="24"/>
        </w:rPr>
        <w:t>сколько норм права (можно воспользоваться имеющимся источником) и указать на признаки нормы права в их формулировке.</w:t>
      </w:r>
    </w:p>
    <w:p w:rsidR="00106FFF" w:rsidRDefault="00106FFF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A8C" w:rsidRPr="00C46B43" w:rsidRDefault="00482A8C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735" w:rsidRPr="00C46B43" w:rsidRDefault="00DA0258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sz w:val="24"/>
          <w:szCs w:val="24"/>
        </w:rPr>
        <w:t>Изучите формулировки социальных норм (источник 1). Ознакомьтесь с особенност</w:t>
      </w:r>
      <w:r w:rsidRPr="00C46B43">
        <w:rPr>
          <w:rFonts w:ascii="Times New Roman" w:hAnsi="Times New Roman" w:cs="Times New Roman"/>
          <w:sz w:val="24"/>
          <w:szCs w:val="24"/>
        </w:rPr>
        <w:t>я</w:t>
      </w:r>
      <w:r w:rsidRPr="00C46B43">
        <w:rPr>
          <w:rFonts w:ascii="Times New Roman" w:hAnsi="Times New Roman" w:cs="Times New Roman"/>
          <w:sz w:val="24"/>
          <w:szCs w:val="24"/>
        </w:rPr>
        <w:t>ми нор</w:t>
      </w:r>
      <w:r w:rsidR="00C46B43">
        <w:rPr>
          <w:rFonts w:ascii="Times New Roman" w:hAnsi="Times New Roman" w:cs="Times New Roman"/>
          <w:sz w:val="24"/>
          <w:szCs w:val="24"/>
        </w:rPr>
        <w:t>мы права (Источник 2).</w:t>
      </w:r>
    </w:p>
    <w:p w:rsidR="00DA0258" w:rsidRPr="00C46B43" w:rsidRDefault="00DA0258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43">
        <w:rPr>
          <w:rFonts w:ascii="Times New Roman" w:hAnsi="Times New Roman" w:cs="Times New Roman"/>
          <w:b/>
          <w:sz w:val="24"/>
          <w:szCs w:val="24"/>
        </w:rPr>
        <w:t>Определите, какие нормы из перечня прим</w:t>
      </w:r>
      <w:r w:rsidR="00C46B43">
        <w:rPr>
          <w:rFonts w:ascii="Times New Roman" w:hAnsi="Times New Roman" w:cs="Times New Roman"/>
          <w:b/>
          <w:sz w:val="24"/>
          <w:szCs w:val="24"/>
        </w:rPr>
        <w:t>еров не являются нормами права.</w:t>
      </w:r>
    </w:p>
    <w:p w:rsidR="006663FB" w:rsidRPr="00C46B43" w:rsidRDefault="006663FB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43">
        <w:rPr>
          <w:rFonts w:ascii="Times New Roman" w:hAnsi="Times New Roman" w:cs="Times New Roman"/>
          <w:b/>
          <w:sz w:val="24"/>
          <w:szCs w:val="24"/>
        </w:rPr>
        <w:t xml:space="preserve">Запишите номера </w:t>
      </w:r>
      <w:r w:rsidR="00DA0258" w:rsidRPr="00C46B43">
        <w:rPr>
          <w:rFonts w:ascii="Times New Roman" w:hAnsi="Times New Roman" w:cs="Times New Roman"/>
          <w:b/>
          <w:sz w:val="24"/>
          <w:szCs w:val="24"/>
        </w:rPr>
        <w:t>таких социальных норм и коротко (1-2 предложения) поясн</w:t>
      </w:r>
      <w:r w:rsidR="00DA0258" w:rsidRPr="00C46B43">
        <w:rPr>
          <w:rFonts w:ascii="Times New Roman" w:hAnsi="Times New Roman" w:cs="Times New Roman"/>
          <w:b/>
          <w:sz w:val="24"/>
          <w:szCs w:val="24"/>
        </w:rPr>
        <w:t>и</w:t>
      </w:r>
      <w:r w:rsidR="00DA0258" w:rsidRPr="00C46B43">
        <w:rPr>
          <w:rFonts w:ascii="Times New Roman" w:hAnsi="Times New Roman" w:cs="Times New Roman"/>
          <w:b/>
          <w:sz w:val="24"/>
          <w:szCs w:val="24"/>
        </w:rPr>
        <w:t>те, почему вы так решили.</w:t>
      </w:r>
    </w:p>
    <w:p w:rsidR="00E83004" w:rsidRPr="00C46B43" w:rsidRDefault="00E83004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DA0258" w:rsidRPr="00C46B43" w:rsidTr="00C46B43">
        <w:tc>
          <w:tcPr>
            <w:tcW w:w="2235" w:type="dxa"/>
            <w:vAlign w:val="center"/>
          </w:tcPr>
          <w:p w:rsidR="00DA0258" w:rsidRPr="00C46B43" w:rsidRDefault="00DA0258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C46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</w:p>
        </w:tc>
        <w:tc>
          <w:tcPr>
            <w:tcW w:w="7336" w:type="dxa"/>
            <w:vAlign w:val="center"/>
          </w:tcPr>
          <w:p w:rsidR="00DA0258" w:rsidRPr="00C46B43" w:rsidRDefault="00DA0258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по которым формулировка </w:t>
            </w:r>
            <w:r w:rsidR="00C46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может содержать норму права</w:t>
            </w:r>
          </w:p>
        </w:tc>
      </w:tr>
      <w:tr w:rsidR="00DA0258" w:rsidRPr="00C46B43" w:rsidTr="00C46B43">
        <w:trPr>
          <w:trHeight w:hRule="exact" w:val="1418"/>
        </w:trPr>
        <w:tc>
          <w:tcPr>
            <w:tcW w:w="2235" w:type="dxa"/>
          </w:tcPr>
          <w:p w:rsidR="00DA0258" w:rsidRPr="00C46B43" w:rsidRDefault="00DA0258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43" w:rsidRPr="00C46B43" w:rsidTr="00C46B43">
        <w:trPr>
          <w:trHeight w:hRule="exact" w:val="1418"/>
        </w:trPr>
        <w:tc>
          <w:tcPr>
            <w:tcW w:w="2235" w:type="dxa"/>
          </w:tcPr>
          <w:p w:rsidR="00C46B43" w:rsidRPr="00C46B43" w:rsidRDefault="00C46B43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46B43" w:rsidRPr="00C46B43" w:rsidRDefault="00C46B43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43" w:rsidRPr="00C46B43" w:rsidTr="00C46B43">
        <w:trPr>
          <w:trHeight w:hRule="exact" w:val="1418"/>
        </w:trPr>
        <w:tc>
          <w:tcPr>
            <w:tcW w:w="2235" w:type="dxa"/>
          </w:tcPr>
          <w:p w:rsidR="00C46B43" w:rsidRPr="00C46B43" w:rsidRDefault="00C46B43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46B43" w:rsidRPr="00C46B43" w:rsidRDefault="00C46B43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43" w:rsidRPr="00C46B43" w:rsidTr="00C46B43">
        <w:trPr>
          <w:trHeight w:hRule="exact" w:val="1418"/>
        </w:trPr>
        <w:tc>
          <w:tcPr>
            <w:tcW w:w="2235" w:type="dxa"/>
          </w:tcPr>
          <w:p w:rsidR="00C46B43" w:rsidRPr="00C46B43" w:rsidRDefault="00C46B43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C46B43" w:rsidRPr="00C46B43" w:rsidRDefault="00C46B43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58" w:rsidRPr="00C46B43" w:rsidTr="00C46B43">
        <w:trPr>
          <w:trHeight w:hRule="exact" w:val="1418"/>
        </w:trPr>
        <w:tc>
          <w:tcPr>
            <w:tcW w:w="2235" w:type="dxa"/>
          </w:tcPr>
          <w:p w:rsidR="00DA0258" w:rsidRPr="00C46B43" w:rsidRDefault="00DA0258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A0258" w:rsidRPr="00C46B43" w:rsidRDefault="00DA0258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A06" w:rsidRPr="00C46B43" w:rsidRDefault="00212A06" w:rsidP="00C46B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A0258" w:rsidRPr="00C46B43" w:rsidRDefault="00DA0258" w:rsidP="00C46B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:rsidR="00DA0258" w:rsidRPr="00C46B43" w:rsidRDefault="00DA0258" w:rsidP="00C46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43">
        <w:rPr>
          <w:rFonts w:ascii="Times New Roman" w:hAnsi="Times New Roman" w:cs="Times New Roman"/>
          <w:b/>
          <w:sz w:val="24"/>
          <w:szCs w:val="24"/>
        </w:rPr>
        <w:t>Примеры формулировок норм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E83004" w:rsidRPr="00C46B43" w:rsidTr="005A1AF9">
        <w:tc>
          <w:tcPr>
            <w:tcW w:w="567" w:type="dxa"/>
            <w:vAlign w:val="center"/>
          </w:tcPr>
          <w:p w:rsidR="00E83004" w:rsidRPr="00C46B43" w:rsidRDefault="00E83004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  <w:vAlign w:val="center"/>
          </w:tcPr>
          <w:p w:rsidR="00E83004" w:rsidRPr="00C46B43" w:rsidRDefault="00E83004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Варианты норм</w:t>
            </w:r>
          </w:p>
        </w:tc>
      </w:tr>
      <w:tr w:rsidR="00E83004" w:rsidRPr="00C46B43" w:rsidTr="005A1AF9">
        <w:tc>
          <w:tcPr>
            <w:tcW w:w="567" w:type="dxa"/>
            <w:vAlign w:val="center"/>
          </w:tcPr>
          <w:p w:rsidR="00E83004" w:rsidRPr="00C46B43" w:rsidRDefault="00E8300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83004" w:rsidRPr="00C46B43" w:rsidRDefault="00E8300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«Никому не воздавайте злом за зло, заботьтесь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добром между всеми людьми. Не мстите за себя, возлюбленные, а дайте место Гневу Божию»</w:t>
            </w:r>
          </w:p>
        </w:tc>
      </w:tr>
      <w:tr w:rsidR="00E83004" w:rsidRPr="00C46B43" w:rsidTr="005A1AF9">
        <w:tc>
          <w:tcPr>
            <w:tcW w:w="567" w:type="dxa"/>
            <w:vAlign w:val="center"/>
          </w:tcPr>
          <w:p w:rsidR="00E83004" w:rsidRPr="00C46B43" w:rsidRDefault="00E8300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83004" w:rsidRPr="00C46B43" w:rsidRDefault="00E8300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«Граждане Российской Федерации имеют право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избирать и быть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избранными в орг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ны государственной власти и органы местного самоуправления, а также участвовать в референдуме»</w:t>
            </w:r>
          </w:p>
        </w:tc>
      </w:tr>
      <w:tr w:rsidR="00E83004" w:rsidRPr="00C46B43" w:rsidTr="005A1AF9">
        <w:tc>
          <w:tcPr>
            <w:tcW w:w="567" w:type="dxa"/>
            <w:vAlign w:val="center"/>
          </w:tcPr>
          <w:p w:rsidR="00E83004" w:rsidRPr="00C46B43" w:rsidRDefault="00E8300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83004" w:rsidRPr="00C46B43" w:rsidRDefault="00E8300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213" w:rsidRPr="00C46B43">
              <w:rPr>
                <w:rFonts w:ascii="Times New Roman" w:hAnsi="Times New Roman" w:cs="Times New Roman"/>
                <w:sz w:val="24"/>
                <w:szCs w:val="24"/>
              </w:rPr>
              <w:t>Трудоспособные совершеннолетние дети обязаны содержать своих нетрудоспосо</w:t>
            </w:r>
            <w:r w:rsidR="005B1213" w:rsidRPr="00C46B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1213" w:rsidRPr="00C46B43">
              <w:rPr>
                <w:rFonts w:ascii="Times New Roman" w:hAnsi="Times New Roman" w:cs="Times New Roman"/>
                <w:sz w:val="24"/>
                <w:szCs w:val="24"/>
              </w:rPr>
              <w:t>ных нуждающихся в помощи родителей и заботиться о них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3004" w:rsidRPr="00C46B43" w:rsidTr="005A1AF9">
        <w:tc>
          <w:tcPr>
            <w:tcW w:w="567" w:type="dxa"/>
            <w:vAlign w:val="center"/>
          </w:tcPr>
          <w:p w:rsidR="00E83004" w:rsidRPr="00C46B43" w:rsidRDefault="00E8300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83004" w:rsidRPr="00C46B43" w:rsidRDefault="005B1213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«Супруги по своему желанию выбирают при заключении брака фамилию одного из них в качестве общей фамилии, либо каждый из супругов сохраняет свою добрачную фамилию, либо, если иное не предусмотрено законами субъектов Российской Фед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рации, присоединяет к своей фамилии фамилию другого супруга»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95513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«При посещении церкви женщина должна покрывать голову платком, допускается покрытие головы шарфом или иным головным убором, закрывающим волосы»»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95513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«Не допускаются пропаганда или агитация,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возбуждающие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социальную, расовую, национальную или религиозную ненависть и вражду. Запрещается пропаганда соц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ального, расового, национального, религиозного или языкового превосходства»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95513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«Причинение смерти по неосторожности - наказывается исправительными работами на срок до двух лет, либо ограничением свободы на срок до двух лет, либо принуд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тельными работами на срок до двух лет, либо лишением свободы на тот же срок»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«Следует уважать старших и помогать младшим»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F670F7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«Во время совещания запрещается пользоваться мобильными телефонами. Все м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бильные телефоны должны быть переведены в беззвучный режим»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95513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«Административной ответственности подлежит лицо, достигшее к моменту соверш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ния административного правонарушения возраста шестнадцати лет»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95513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«Собственнику принадлежат права владения, пользования и распоряжения своим имуществом»</w:t>
            </w:r>
          </w:p>
        </w:tc>
      </w:tr>
      <w:tr w:rsidR="00955134" w:rsidRPr="00C46B43" w:rsidTr="005A1AF9">
        <w:tc>
          <w:tcPr>
            <w:tcW w:w="567" w:type="dxa"/>
            <w:vAlign w:val="center"/>
          </w:tcPr>
          <w:p w:rsidR="00955134" w:rsidRPr="00C46B43" w:rsidRDefault="00955134" w:rsidP="00C46B43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5134" w:rsidRPr="00C46B43" w:rsidRDefault="007C1C90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«Преодолевая крутой спуск, водитель должен выбрать передачу, не требующую то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можения; выбранная передача должна быть неизменной на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всего спуска. Запрещается использовать тормоз»</w:t>
            </w:r>
          </w:p>
        </w:tc>
      </w:tr>
    </w:tbl>
    <w:p w:rsidR="007C1C90" w:rsidRPr="00C46B43" w:rsidRDefault="007C1C90" w:rsidP="00C46B43">
      <w:pPr>
        <w:pStyle w:val="a4"/>
        <w:spacing w:before="0" w:beforeAutospacing="0" w:after="0" w:afterAutospacing="0"/>
        <w:rPr>
          <w:rFonts w:eastAsiaTheme="minorHAnsi"/>
          <w:u w:val="single"/>
          <w:lang w:eastAsia="en-US"/>
        </w:rPr>
      </w:pPr>
    </w:p>
    <w:p w:rsidR="00DA0258" w:rsidRPr="00C46B43" w:rsidRDefault="00DA0258" w:rsidP="00C46B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43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DA0258" w:rsidRPr="00C46B43" w:rsidRDefault="00DA0258" w:rsidP="00C46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43">
        <w:rPr>
          <w:rFonts w:ascii="Times New Roman" w:hAnsi="Times New Roman" w:cs="Times New Roman"/>
          <w:b/>
          <w:sz w:val="24"/>
          <w:szCs w:val="24"/>
        </w:rPr>
        <w:t>Особенности нормы права в ряду иных социальных норм</w:t>
      </w:r>
    </w:p>
    <w:p w:rsidR="00DA0258" w:rsidRPr="00C46B43" w:rsidRDefault="00DA0258" w:rsidP="00C4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43">
        <w:rPr>
          <w:rFonts w:ascii="Times New Roman" w:hAnsi="Times New Roman" w:cs="Times New Roman"/>
          <w:sz w:val="24"/>
          <w:szCs w:val="24"/>
        </w:rPr>
        <w:t xml:space="preserve">Норма права (от лат. </w:t>
      </w:r>
      <w:proofErr w:type="spellStart"/>
      <w:r w:rsidRPr="00C46B43">
        <w:rPr>
          <w:rFonts w:ascii="Times New Roman" w:hAnsi="Times New Roman" w:cs="Times New Roman"/>
          <w:i/>
          <w:sz w:val="24"/>
          <w:szCs w:val="24"/>
        </w:rPr>
        <w:t>norma</w:t>
      </w:r>
      <w:proofErr w:type="spellEnd"/>
      <w:r w:rsidRPr="00C46B43">
        <w:rPr>
          <w:rFonts w:ascii="Times New Roman" w:hAnsi="Times New Roman" w:cs="Times New Roman"/>
          <w:sz w:val="24"/>
          <w:szCs w:val="24"/>
        </w:rPr>
        <w:t xml:space="preserve"> </w:t>
      </w:r>
      <w:r w:rsidR="00C46B43">
        <w:rPr>
          <w:rFonts w:ascii="Times New Roman" w:hAnsi="Times New Roman" w:cs="Times New Roman"/>
          <w:sz w:val="24"/>
          <w:szCs w:val="24"/>
        </w:rPr>
        <w:t>-</w:t>
      </w:r>
      <w:r w:rsidRPr="00C46B43">
        <w:rPr>
          <w:rFonts w:ascii="Times New Roman" w:hAnsi="Times New Roman" w:cs="Times New Roman"/>
          <w:sz w:val="24"/>
          <w:szCs w:val="24"/>
        </w:rPr>
        <w:t xml:space="preserve"> мера, правило, образец, стандарт) - это общеобязател</w:t>
      </w:r>
      <w:r w:rsidRPr="00C46B43">
        <w:rPr>
          <w:rFonts w:ascii="Times New Roman" w:hAnsi="Times New Roman" w:cs="Times New Roman"/>
          <w:sz w:val="24"/>
          <w:szCs w:val="24"/>
        </w:rPr>
        <w:t>ь</w:t>
      </w:r>
      <w:r w:rsidRPr="00C46B43">
        <w:rPr>
          <w:rFonts w:ascii="Times New Roman" w:hAnsi="Times New Roman" w:cs="Times New Roman"/>
          <w:sz w:val="24"/>
          <w:szCs w:val="24"/>
        </w:rPr>
        <w:t>ное формально определенное правило поведения, установленное и обеспеченное обществом и государством, закреплённое и опубликованное в официальных актах, направленное на р</w:t>
      </w:r>
      <w:r w:rsidRPr="00C46B43">
        <w:rPr>
          <w:rFonts w:ascii="Times New Roman" w:hAnsi="Times New Roman" w:cs="Times New Roman"/>
          <w:sz w:val="24"/>
          <w:szCs w:val="24"/>
        </w:rPr>
        <w:t>е</w:t>
      </w:r>
      <w:r w:rsidRPr="00C46B43">
        <w:rPr>
          <w:rFonts w:ascii="Times New Roman" w:hAnsi="Times New Roman" w:cs="Times New Roman"/>
          <w:sz w:val="24"/>
          <w:szCs w:val="24"/>
        </w:rPr>
        <w:t>гулирование общественных прав и обязанностей участников общественных отношений.</w:t>
      </w:r>
    </w:p>
    <w:p w:rsidR="00DA0258" w:rsidRPr="00C46B43" w:rsidRDefault="00DA0258" w:rsidP="00C46B43">
      <w:pPr>
        <w:pStyle w:val="a4"/>
        <w:spacing w:before="0" w:beforeAutospacing="0" w:after="0" w:afterAutospacing="0"/>
        <w:ind w:firstLine="709"/>
        <w:jc w:val="both"/>
      </w:pPr>
      <w:r w:rsidRPr="00C46B43">
        <w:t>Нормы права, наряду с экономическими, политическими, моральными, религиозн</w:t>
      </w:r>
      <w:r w:rsidRPr="00C46B43">
        <w:t>ы</w:t>
      </w:r>
      <w:r w:rsidRPr="00C46B43">
        <w:t>ми, эстетическими нормами, традициями и обычаями, правилами этикета, принадлежат к с</w:t>
      </w:r>
      <w:r w:rsidRPr="00C46B43">
        <w:t>о</w:t>
      </w:r>
      <w:r w:rsidRPr="00C46B43">
        <w:t>циальным нормам, но имеют свои отличительные особенности. Во-первых, это закрепле</w:t>
      </w:r>
      <w:r w:rsidRPr="00C46B43">
        <w:t>н</w:t>
      </w:r>
      <w:r w:rsidRPr="00C46B43">
        <w:t>ность нормы права в законе или в других нормативных актах. Нормы права связаны с сан</w:t>
      </w:r>
      <w:r w:rsidRPr="00C46B43">
        <w:t>к</w:t>
      </w:r>
      <w:r w:rsidRPr="00C46B43">
        <w:t>циями, указывающими на меры воздействия в отношении правонарушителей. Обеспечивае</w:t>
      </w:r>
      <w:r w:rsidRPr="00C46B43">
        <w:t>т</w:t>
      </w:r>
      <w:r w:rsidRPr="00C46B43">
        <w:t>ся соблюдение</w:t>
      </w:r>
      <w:r w:rsidR="00C46B43">
        <w:t xml:space="preserve"> нормы права силой государства.</w:t>
      </w:r>
    </w:p>
    <w:p w:rsidR="00DA0258" w:rsidRPr="00C46B43" w:rsidRDefault="00DA0258" w:rsidP="00C46B43">
      <w:pPr>
        <w:pStyle w:val="a4"/>
        <w:spacing w:before="0" w:beforeAutospacing="0" w:after="0" w:afterAutospacing="0"/>
        <w:ind w:firstLine="709"/>
        <w:jc w:val="both"/>
      </w:pPr>
      <w:r w:rsidRPr="00C46B43">
        <w:t>Нормы права всегда предельно конкретны по содержанию. Они моделируют (опис</w:t>
      </w:r>
      <w:r w:rsidRPr="00C46B43">
        <w:t>ы</w:t>
      </w:r>
      <w:r w:rsidRPr="00C46B43">
        <w:t>вают) необходимые отношения так, чтобы в реальности ни у кого не было затруднений в их построении. Поэтому обстоятельства, предусмотренные нормой в качестве основы для с</w:t>
      </w:r>
      <w:r w:rsidRPr="00C46B43">
        <w:t>о</w:t>
      </w:r>
      <w:r w:rsidRPr="00C46B43">
        <w:t>вершения определённых действий, должны быть легко узнаваемы в реальной жизни. По той же причине нормы права имеют определенные стандартизированные формулировки: это позволяет избежать двойного толкования.</w:t>
      </w:r>
    </w:p>
    <w:p w:rsidR="005A1AF9" w:rsidRDefault="005A1AF9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6E68" w:rsidRPr="00C46B43" w:rsidRDefault="00A06E68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B43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A06E68" w:rsidRPr="00C46B43" w:rsidRDefault="00A06E68" w:rsidP="00C46B4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7734"/>
      </w:tblGrid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C46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</w:p>
        </w:tc>
        <w:tc>
          <w:tcPr>
            <w:tcW w:w="7734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по которым формулировка </w:t>
            </w:r>
            <w:r w:rsidR="00C46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может содержать норму права</w:t>
            </w:r>
          </w:p>
        </w:tc>
      </w:tr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CB4A44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Неконкретна по содержанию \ нельзя четко установить связь с реальной ситуацией \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легко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распознать в жизни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212A06" w:rsidRPr="00C46B43" w:rsidRDefault="00CB4A4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2A06" w:rsidRPr="00C46B43">
              <w:rPr>
                <w:rFonts w:ascii="Times New Roman" w:hAnsi="Times New Roman" w:cs="Times New Roman"/>
                <w:sz w:val="24"/>
                <w:szCs w:val="24"/>
              </w:rPr>
              <w:t>онятия «добра и зла» требуют толкования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обеспечивается государством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обеспечивается государством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4" w:type="dxa"/>
          </w:tcPr>
          <w:p w:rsidR="00CB4A44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Неконкретна по содержанию \ нельзя четко установить связь с реальной ситуацией \ </w:t>
            </w:r>
            <w:proofErr w:type="gramStart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легко</w:t>
            </w:r>
            <w:proofErr w:type="gramEnd"/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распознать в жизни 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212A06" w:rsidRPr="00C46B43" w:rsidRDefault="00CB4A4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2A06" w:rsidRPr="00C46B43">
              <w:rPr>
                <w:rFonts w:ascii="Times New Roman" w:hAnsi="Times New Roman" w:cs="Times New Roman"/>
                <w:sz w:val="24"/>
                <w:szCs w:val="24"/>
              </w:rPr>
              <w:t>онятия «уважения и помощи» требуют толкования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обеспечивается государством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4" w:type="dxa"/>
          </w:tcPr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обеспечивается государством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212A06" w:rsidRPr="00C46B43" w:rsidTr="00C46B43">
        <w:tc>
          <w:tcPr>
            <w:tcW w:w="1730" w:type="dxa"/>
          </w:tcPr>
          <w:p w:rsidR="00212A06" w:rsidRPr="00C46B43" w:rsidRDefault="00212A06" w:rsidP="00C4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4" w:type="dxa"/>
          </w:tcPr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связ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>ано с (социальными) отношениями (9)</w:t>
            </w:r>
          </w:p>
          <w:p w:rsidR="00212A06" w:rsidRPr="00C46B43" w:rsidRDefault="00212A06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Не обеспечивается государством</w:t>
            </w:r>
            <w:r w:rsidR="00CB4A44" w:rsidRPr="00C46B4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</w:tr>
    </w:tbl>
    <w:p w:rsidR="00212A06" w:rsidRPr="00C46B43" w:rsidRDefault="00212A06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E68" w:rsidRPr="00C46B43" w:rsidRDefault="00A06E68" w:rsidP="00C4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500" w:type="dxa"/>
        <w:tblInd w:w="-34" w:type="dxa"/>
        <w:tblLook w:val="04A0" w:firstRow="1" w:lastRow="0" w:firstColumn="1" w:lastColumn="0" w:noHBand="0" w:noVBand="1"/>
      </w:tblPr>
      <w:tblGrid>
        <w:gridCol w:w="7939"/>
        <w:gridCol w:w="1561"/>
      </w:tblGrid>
      <w:tr w:rsidR="00A06E68" w:rsidRPr="00C46B43" w:rsidTr="00C46B43">
        <w:tc>
          <w:tcPr>
            <w:tcW w:w="7939" w:type="dxa"/>
            <w:vAlign w:val="center"/>
          </w:tcPr>
          <w:p w:rsidR="00A06E68" w:rsidRPr="00C46B43" w:rsidRDefault="00CB4A44" w:rsidP="00C4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Полностью верно указаны номера формулировок</w:t>
            </w:r>
          </w:p>
        </w:tc>
        <w:tc>
          <w:tcPr>
            <w:tcW w:w="1561" w:type="dxa"/>
            <w:vAlign w:val="center"/>
          </w:tcPr>
          <w:p w:rsidR="00A06E68" w:rsidRPr="00C46B43" w:rsidRDefault="00CB4A4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B4A44" w:rsidRPr="00C46B43" w:rsidTr="00C46B43">
        <w:tc>
          <w:tcPr>
            <w:tcW w:w="7939" w:type="dxa"/>
            <w:vAlign w:val="center"/>
          </w:tcPr>
          <w:p w:rsidR="00CB4A44" w:rsidRPr="00C46B43" w:rsidRDefault="00CB4A44" w:rsidP="00C46B43">
            <w:pPr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i/>
                <w:sz w:val="24"/>
                <w:szCs w:val="24"/>
              </w:rPr>
              <w:t>Номера формулировок указаны с одной ошибкой или пропуском</w:t>
            </w:r>
          </w:p>
        </w:tc>
        <w:tc>
          <w:tcPr>
            <w:tcW w:w="1561" w:type="dxa"/>
            <w:vAlign w:val="center"/>
          </w:tcPr>
          <w:p w:rsidR="00CB4A44" w:rsidRPr="00C46B43" w:rsidRDefault="00CB4A44" w:rsidP="00C46B43">
            <w:pPr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CB4A44" w:rsidRPr="00C46B43" w:rsidTr="00C46B43">
        <w:tc>
          <w:tcPr>
            <w:tcW w:w="7939" w:type="dxa"/>
            <w:vAlign w:val="center"/>
          </w:tcPr>
          <w:p w:rsidR="00CB4A44" w:rsidRPr="00C46B43" w:rsidRDefault="00CB4A44" w:rsidP="00C4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1561" w:type="dxa"/>
            <w:vAlign w:val="center"/>
          </w:tcPr>
          <w:p w:rsidR="00CB4A44" w:rsidRPr="00C46B43" w:rsidRDefault="00CB4A4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B4A44" w:rsidRPr="00C46B43" w:rsidTr="00C46B43">
        <w:tc>
          <w:tcPr>
            <w:tcW w:w="7939" w:type="dxa"/>
            <w:vAlign w:val="center"/>
          </w:tcPr>
          <w:p w:rsidR="00CB4A44" w:rsidRPr="00C46B43" w:rsidRDefault="00CB4A44" w:rsidP="00C46B43">
            <w:pPr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1" w:type="dxa"/>
            <w:vAlign w:val="center"/>
          </w:tcPr>
          <w:p w:rsidR="00CB4A44" w:rsidRPr="00C46B43" w:rsidRDefault="00CB4A44" w:rsidP="00C46B43">
            <w:pPr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i/>
                <w:sz w:val="24"/>
                <w:szCs w:val="24"/>
              </w:rPr>
              <w:t>10 баллов</w:t>
            </w:r>
          </w:p>
        </w:tc>
      </w:tr>
      <w:tr w:rsidR="00CB4A44" w:rsidRPr="00C46B43" w:rsidTr="00C46B43">
        <w:tc>
          <w:tcPr>
            <w:tcW w:w="7939" w:type="dxa"/>
            <w:vAlign w:val="center"/>
          </w:tcPr>
          <w:p w:rsidR="00CB4A44" w:rsidRPr="00C46B43" w:rsidRDefault="00CB4A44" w:rsidP="00C4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Отсутствуют не соответствующие формулировке обоснования (при нал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чии хотя бы одного верного ответа)</w:t>
            </w:r>
          </w:p>
        </w:tc>
        <w:tc>
          <w:tcPr>
            <w:tcW w:w="1561" w:type="dxa"/>
            <w:vAlign w:val="center"/>
          </w:tcPr>
          <w:p w:rsidR="00CB4A44" w:rsidRPr="00C46B43" w:rsidRDefault="00CB4A44" w:rsidP="00C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B4A44" w:rsidRPr="00C46B43" w:rsidTr="00C46B43">
        <w:tc>
          <w:tcPr>
            <w:tcW w:w="7939" w:type="dxa"/>
            <w:vAlign w:val="center"/>
          </w:tcPr>
          <w:p w:rsidR="00CB4A44" w:rsidRPr="00C46B43" w:rsidRDefault="00CB4A44" w:rsidP="00C46B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1" w:type="dxa"/>
            <w:vAlign w:val="center"/>
          </w:tcPr>
          <w:p w:rsidR="00CB4A44" w:rsidRPr="00C46B43" w:rsidRDefault="00CB4A44" w:rsidP="00C46B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A06E68" w:rsidRPr="00C46B43" w:rsidRDefault="00A06E68" w:rsidP="00C4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E68" w:rsidRPr="00C46B43" w:rsidSect="00C46B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99D"/>
    <w:multiLevelType w:val="hybridMultilevel"/>
    <w:tmpl w:val="DF2E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9"/>
    <w:rsid w:val="000E18A7"/>
    <w:rsid w:val="000F457F"/>
    <w:rsid w:val="00106FFF"/>
    <w:rsid w:val="001F4735"/>
    <w:rsid w:val="00212A06"/>
    <w:rsid w:val="00265EBE"/>
    <w:rsid w:val="002F0709"/>
    <w:rsid w:val="00406FF3"/>
    <w:rsid w:val="00471E59"/>
    <w:rsid w:val="00482A8C"/>
    <w:rsid w:val="005A1AF9"/>
    <w:rsid w:val="005B1213"/>
    <w:rsid w:val="006663FB"/>
    <w:rsid w:val="0068249C"/>
    <w:rsid w:val="006E3DEE"/>
    <w:rsid w:val="00730F81"/>
    <w:rsid w:val="007C1C90"/>
    <w:rsid w:val="008F104E"/>
    <w:rsid w:val="00906258"/>
    <w:rsid w:val="00955134"/>
    <w:rsid w:val="00A06E68"/>
    <w:rsid w:val="00C243BD"/>
    <w:rsid w:val="00C46B43"/>
    <w:rsid w:val="00CB4A44"/>
    <w:rsid w:val="00D257F2"/>
    <w:rsid w:val="00DA0258"/>
    <w:rsid w:val="00DD08B7"/>
    <w:rsid w:val="00DD6EE9"/>
    <w:rsid w:val="00E83004"/>
    <w:rsid w:val="00F656CF"/>
    <w:rsid w:val="00F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709"/>
    <w:rPr>
      <w:color w:val="0563C1" w:themeColor="hyperlink"/>
      <w:u w:val="single"/>
    </w:rPr>
  </w:style>
  <w:style w:type="character" w:customStyle="1" w:styleId="gxst-emph">
    <w:name w:val="gxst-emph"/>
    <w:basedOn w:val="a0"/>
    <w:rsid w:val="002F0709"/>
  </w:style>
  <w:style w:type="paragraph" w:styleId="a6">
    <w:name w:val="Balloon Text"/>
    <w:basedOn w:val="a"/>
    <w:link w:val="a7"/>
    <w:uiPriority w:val="99"/>
    <w:semiHidden/>
    <w:unhideWhenUsed/>
    <w:rsid w:val="002F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709"/>
    <w:rPr>
      <w:color w:val="0563C1" w:themeColor="hyperlink"/>
      <w:u w:val="single"/>
    </w:rPr>
  </w:style>
  <w:style w:type="character" w:customStyle="1" w:styleId="gxst-emph">
    <w:name w:val="gxst-emph"/>
    <w:basedOn w:val="a0"/>
    <w:rsid w:val="002F0709"/>
  </w:style>
  <w:style w:type="paragraph" w:styleId="a6">
    <w:name w:val="Balloon Text"/>
    <w:basedOn w:val="a"/>
    <w:link w:val="a7"/>
    <w:uiPriority w:val="99"/>
    <w:semiHidden/>
    <w:unhideWhenUsed/>
    <w:rsid w:val="002F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Лена</cp:lastModifiedBy>
  <cp:revision>4</cp:revision>
  <dcterms:created xsi:type="dcterms:W3CDTF">2020-03-03T10:15:00Z</dcterms:created>
  <dcterms:modified xsi:type="dcterms:W3CDTF">2020-03-04T06:57:00Z</dcterms:modified>
</cp:coreProperties>
</file>