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F5100" w:rsidRPr="00C00ACC" w:rsidRDefault="003F5100" w:rsidP="003F5100">
      <w:pPr>
        <w:ind w:left="2552"/>
        <w:jc w:val="both"/>
        <w:rPr>
          <w:rFonts w:ascii="Calibri" w:eastAsia="Times New Roman" w:hAnsi="Calibri" w:cs="Calibri"/>
          <w:sz w:val="20"/>
          <w:szCs w:val="20"/>
        </w:rPr>
      </w:pPr>
      <w:r w:rsidRPr="00C00ACC">
        <w:rPr>
          <w:rFonts w:ascii="Calibri" w:eastAsia="Times New Roman" w:hAnsi="Calibri" w:cs="Calibri"/>
          <w:sz w:val="20"/>
          <w:szCs w:val="20"/>
        </w:rPr>
        <w:t>Задание подготовлено в рамках проекта АНО «Лаборатория модернизации образовательных ресурсов» «</w:t>
      </w:r>
      <w:proofErr w:type="gramStart"/>
      <w:r w:rsidRPr="00C00ACC">
        <w:rPr>
          <w:rFonts w:ascii="Calibri" w:eastAsia="Times New Roman" w:hAnsi="Calibri" w:cs="Calibri"/>
          <w:sz w:val="20"/>
          <w:szCs w:val="20"/>
        </w:rPr>
        <w:t>Кадровый</w:t>
      </w:r>
      <w:proofErr w:type="gramEnd"/>
      <w:r w:rsidRPr="00C00ACC">
        <w:rPr>
          <w:rFonts w:ascii="Calibri" w:eastAsia="Times New Roman" w:hAnsi="Calibri" w:cs="Calibri"/>
          <w:sz w:val="20"/>
          <w:szCs w:val="20"/>
        </w:rPr>
        <w:t xml:space="preserve">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3F5100" w:rsidRDefault="003F5100" w:rsidP="008551C2">
      <w:pPr>
        <w:jc w:val="both"/>
        <w:rPr>
          <w:rFonts w:cs="Times New Roman"/>
          <w:i/>
        </w:rPr>
      </w:pPr>
    </w:p>
    <w:p w:rsidR="008551C2" w:rsidRPr="008551C2" w:rsidRDefault="008551C2" w:rsidP="008551C2">
      <w:pPr>
        <w:jc w:val="both"/>
        <w:rPr>
          <w:rFonts w:cs="Times New Roman"/>
        </w:rPr>
      </w:pPr>
      <w:r w:rsidRPr="008551C2">
        <w:rPr>
          <w:rFonts w:cs="Times New Roman"/>
          <w:i/>
        </w:rPr>
        <w:t>Разработчик</w:t>
      </w:r>
      <w:r w:rsidRPr="008551C2">
        <w:rPr>
          <w:rFonts w:cs="Times New Roman"/>
        </w:rPr>
        <w:t>: Говорова Ольга Викторовна, ГБПОУ СО «</w:t>
      </w:r>
      <w:proofErr w:type="gramStart"/>
      <w:r w:rsidRPr="008551C2">
        <w:rPr>
          <w:rFonts w:cs="Times New Roman"/>
        </w:rPr>
        <w:t>Тольяттинский</w:t>
      </w:r>
      <w:proofErr w:type="gramEnd"/>
      <w:r w:rsidRPr="008551C2">
        <w:rPr>
          <w:rFonts w:cs="Times New Roman"/>
        </w:rPr>
        <w:t xml:space="preserve"> социально-экономический колледж»</w:t>
      </w:r>
    </w:p>
    <w:p w:rsidR="00882FCC" w:rsidRPr="008551C2" w:rsidRDefault="008551C2" w:rsidP="008551C2">
      <w:pPr>
        <w:jc w:val="both"/>
        <w:rPr>
          <w:rFonts w:cs="Times New Roman"/>
        </w:rPr>
      </w:pPr>
      <w:r w:rsidRPr="008551C2">
        <w:rPr>
          <w:rFonts w:cs="Times New Roman"/>
          <w:i/>
        </w:rPr>
        <w:t>Курс</w:t>
      </w:r>
      <w:r w:rsidRPr="008551C2">
        <w:rPr>
          <w:rFonts w:cs="Times New Roman"/>
        </w:rPr>
        <w:t xml:space="preserve">: </w:t>
      </w:r>
      <w:r w:rsidR="00094490" w:rsidRPr="008551C2">
        <w:rPr>
          <w:rFonts w:cs="Times New Roman"/>
        </w:rPr>
        <w:t xml:space="preserve">Гражданское право </w:t>
      </w:r>
      <w:r w:rsidR="00882FCC" w:rsidRPr="008551C2">
        <w:rPr>
          <w:rFonts w:cs="Times New Roman"/>
        </w:rPr>
        <w:t>(40.02.01, ОП 06</w:t>
      </w:r>
      <w:r w:rsidRPr="008551C2">
        <w:rPr>
          <w:rFonts w:cs="Times New Roman"/>
        </w:rPr>
        <w:t>)</w:t>
      </w:r>
    </w:p>
    <w:p w:rsidR="00C17B84" w:rsidRPr="008551C2" w:rsidRDefault="00094490" w:rsidP="008551C2">
      <w:pPr>
        <w:jc w:val="both"/>
        <w:rPr>
          <w:rFonts w:cs="Times New Roman"/>
        </w:rPr>
      </w:pPr>
      <w:r w:rsidRPr="008551C2">
        <w:rPr>
          <w:rFonts w:cs="Times New Roman"/>
          <w:i/>
        </w:rPr>
        <w:t>Тема</w:t>
      </w:r>
      <w:r w:rsidR="00882FCC" w:rsidRPr="008551C2">
        <w:rPr>
          <w:rFonts w:cs="Times New Roman"/>
        </w:rPr>
        <w:t>:</w:t>
      </w:r>
      <w:r w:rsidRPr="008551C2">
        <w:rPr>
          <w:rFonts w:cs="Times New Roman"/>
        </w:rPr>
        <w:t xml:space="preserve"> Способы обес</w:t>
      </w:r>
      <w:r w:rsidR="00882FCC" w:rsidRPr="008551C2">
        <w:rPr>
          <w:rFonts w:cs="Times New Roman"/>
        </w:rPr>
        <w:t>печения исполнения обязательств</w:t>
      </w:r>
    </w:p>
    <w:p w:rsidR="00C17B84" w:rsidRPr="008551C2" w:rsidRDefault="00C17B84" w:rsidP="008551C2">
      <w:pPr>
        <w:jc w:val="both"/>
        <w:rPr>
          <w:rFonts w:cs="Times New Roman"/>
        </w:rPr>
      </w:pPr>
    </w:p>
    <w:p w:rsidR="00C17B84" w:rsidRPr="008551C2" w:rsidRDefault="00A542F6" w:rsidP="008551C2">
      <w:pPr>
        <w:jc w:val="both"/>
        <w:rPr>
          <w:rFonts w:cs="Times New Roman"/>
          <w:i/>
        </w:rPr>
      </w:pPr>
      <w:r>
        <w:rPr>
          <w:rFonts w:cs="Times New Roman"/>
          <w:i/>
        </w:rPr>
        <w:t>Комментарии</w:t>
      </w:r>
    </w:p>
    <w:p w:rsidR="00C17B84" w:rsidRPr="008551C2" w:rsidRDefault="00094490" w:rsidP="008551C2">
      <w:pPr>
        <w:ind w:firstLine="709"/>
        <w:jc w:val="both"/>
        <w:rPr>
          <w:rFonts w:cs="Times New Roman"/>
        </w:rPr>
      </w:pPr>
      <w:r w:rsidRPr="008551C2">
        <w:rPr>
          <w:rFonts w:cs="Times New Roman"/>
        </w:rPr>
        <w:t xml:space="preserve">Задание может быть использовано </w:t>
      </w:r>
      <w:r w:rsidR="00882FCC" w:rsidRPr="008551C2">
        <w:rPr>
          <w:rFonts w:cs="Times New Roman"/>
        </w:rPr>
        <w:t xml:space="preserve">на </w:t>
      </w:r>
      <w:proofErr w:type="gramStart"/>
      <w:r w:rsidR="00D522FD">
        <w:rPr>
          <w:rFonts w:cs="Times New Roman"/>
        </w:rPr>
        <w:t>этапе</w:t>
      </w:r>
      <w:proofErr w:type="gramEnd"/>
      <w:r w:rsidR="00882FCC" w:rsidRPr="008551C2">
        <w:rPr>
          <w:rFonts w:cs="Times New Roman"/>
        </w:rPr>
        <w:t xml:space="preserve"> изучения нового материала</w:t>
      </w:r>
      <w:r w:rsidRPr="008551C2">
        <w:rPr>
          <w:rFonts w:cs="Times New Roman"/>
        </w:rPr>
        <w:t>.</w:t>
      </w:r>
    </w:p>
    <w:p w:rsidR="00C17B84" w:rsidRPr="008551C2" w:rsidRDefault="00C17B84" w:rsidP="008551C2">
      <w:pPr>
        <w:jc w:val="both"/>
        <w:rPr>
          <w:rFonts w:cs="Times New Roman"/>
        </w:rPr>
      </w:pPr>
    </w:p>
    <w:p w:rsidR="00C17B84" w:rsidRPr="008551C2" w:rsidRDefault="00C17B84" w:rsidP="008551C2">
      <w:pPr>
        <w:jc w:val="both"/>
        <w:rPr>
          <w:rFonts w:cs="Times New Roman"/>
        </w:rPr>
      </w:pPr>
    </w:p>
    <w:p w:rsidR="00C17B84" w:rsidRPr="008551C2" w:rsidRDefault="008551C2" w:rsidP="008551C2">
      <w:pPr>
        <w:pStyle w:val="a1"/>
        <w:spacing w:after="0"/>
        <w:ind w:firstLine="709"/>
        <w:jc w:val="both"/>
        <w:rPr>
          <w:rFonts w:cs="Times New Roman"/>
          <w:bCs/>
        </w:rPr>
      </w:pPr>
      <w:r>
        <w:rPr>
          <w:rFonts w:cs="Times New Roman"/>
          <w:bCs/>
        </w:rPr>
        <w:t>Внимательно изучите источник.</w:t>
      </w:r>
    </w:p>
    <w:p w:rsidR="00C17B84" w:rsidRPr="008551C2" w:rsidRDefault="008551C2" w:rsidP="008551C2">
      <w:pPr>
        <w:pStyle w:val="a1"/>
        <w:spacing w:after="0"/>
        <w:ind w:firstLine="709"/>
        <w:jc w:val="both"/>
        <w:rPr>
          <w:rFonts w:cs="Times New Roman"/>
          <w:b/>
          <w:bCs/>
        </w:rPr>
      </w:pPr>
      <w:r>
        <w:rPr>
          <w:rFonts w:cs="Times New Roman"/>
          <w:b/>
          <w:bCs/>
        </w:rPr>
        <w:t>Заполните схему.</w:t>
      </w:r>
    </w:p>
    <w:p w:rsidR="00882FCC" w:rsidRPr="008551C2" w:rsidRDefault="00882FCC" w:rsidP="008551C2">
      <w:pPr>
        <w:pStyle w:val="a1"/>
        <w:spacing w:after="0"/>
        <w:jc w:val="both"/>
        <w:rPr>
          <w:rFonts w:cs="Times New Roman"/>
        </w:rPr>
      </w:pPr>
    </w:p>
    <w:tbl>
      <w:tblPr>
        <w:tblStyle w:val="ac"/>
        <w:tblW w:w="0" w:type="auto"/>
        <w:tblLook w:val="04A0" w:firstRow="1" w:lastRow="0" w:firstColumn="1" w:lastColumn="0" w:noHBand="0" w:noVBand="1"/>
      </w:tblPr>
      <w:tblGrid>
        <w:gridCol w:w="1242"/>
        <w:gridCol w:w="284"/>
        <w:gridCol w:w="1417"/>
        <w:gridCol w:w="284"/>
        <w:gridCol w:w="1559"/>
        <w:gridCol w:w="284"/>
        <w:gridCol w:w="1559"/>
        <w:gridCol w:w="283"/>
        <w:gridCol w:w="1276"/>
        <w:gridCol w:w="284"/>
        <w:gridCol w:w="1382"/>
      </w:tblGrid>
      <w:tr w:rsidR="00882FCC" w:rsidRPr="008551C2" w:rsidTr="005952EA">
        <w:tc>
          <w:tcPr>
            <w:tcW w:w="9854" w:type="dxa"/>
            <w:gridSpan w:val="11"/>
          </w:tcPr>
          <w:p w:rsidR="00882FCC" w:rsidRPr="008551C2" w:rsidRDefault="00882FCC" w:rsidP="008551C2">
            <w:pPr>
              <w:jc w:val="center"/>
              <w:rPr>
                <w:rFonts w:cs="Times New Roman"/>
              </w:rPr>
            </w:pPr>
            <w:r w:rsidRPr="008551C2">
              <w:rPr>
                <w:rFonts w:cs="Times New Roman"/>
              </w:rPr>
              <w:t>Способы обеспечения исполнения обязательств</w:t>
            </w:r>
          </w:p>
        </w:tc>
      </w:tr>
      <w:tr w:rsidR="00882FCC" w:rsidRPr="008551C2" w:rsidTr="008551C2">
        <w:tc>
          <w:tcPr>
            <w:tcW w:w="1242" w:type="dxa"/>
            <w:tcBorders>
              <w:left w:val="nil"/>
              <w:bottom w:val="single" w:sz="4" w:space="0" w:color="auto"/>
              <w:right w:val="nil"/>
            </w:tcBorders>
          </w:tcPr>
          <w:p w:rsidR="00882FCC" w:rsidRPr="008551C2" w:rsidRDefault="00882FCC" w:rsidP="008551C2">
            <w:pPr>
              <w:pStyle w:val="a1"/>
              <w:spacing w:after="0"/>
              <w:jc w:val="center"/>
              <w:rPr>
                <w:rFonts w:cs="Times New Roman"/>
              </w:rPr>
            </w:pPr>
            <w:r w:rsidRPr="008551C2">
              <w:rPr>
                <w:rFonts w:cs="Times New Roman"/>
              </w:rPr>
              <w:t>↓</w:t>
            </w:r>
          </w:p>
        </w:tc>
        <w:tc>
          <w:tcPr>
            <w:tcW w:w="284" w:type="dxa"/>
            <w:tcBorders>
              <w:left w:val="nil"/>
              <w:bottom w:val="nil"/>
              <w:right w:val="nil"/>
            </w:tcBorders>
          </w:tcPr>
          <w:p w:rsidR="00882FCC" w:rsidRPr="008551C2" w:rsidRDefault="00882FCC" w:rsidP="008551C2">
            <w:pPr>
              <w:pStyle w:val="a1"/>
              <w:spacing w:after="0"/>
              <w:jc w:val="center"/>
              <w:rPr>
                <w:rFonts w:cs="Times New Roman"/>
              </w:rPr>
            </w:pPr>
          </w:p>
        </w:tc>
        <w:tc>
          <w:tcPr>
            <w:tcW w:w="1417" w:type="dxa"/>
            <w:tcBorders>
              <w:left w:val="nil"/>
              <w:bottom w:val="single" w:sz="4" w:space="0" w:color="auto"/>
              <w:right w:val="nil"/>
            </w:tcBorders>
          </w:tcPr>
          <w:p w:rsidR="00882FCC" w:rsidRPr="008551C2" w:rsidRDefault="00882FCC" w:rsidP="008551C2">
            <w:pPr>
              <w:pStyle w:val="a1"/>
              <w:spacing w:after="0"/>
              <w:jc w:val="center"/>
              <w:rPr>
                <w:rFonts w:cs="Times New Roman"/>
              </w:rPr>
            </w:pPr>
            <w:r w:rsidRPr="008551C2">
              <w:rPr>
                <w:rFonts w:cs="Times New Roman"/>
              </w:rPr>
              <w:t>↓</w:t>
            </w:r>
          </w:p>
        </w:tc>
        <w:tc>
          <w:tcPr>
            <w:tcW w:w="284" w:type="dxa"/>
            <w:tcBorders>
              <w:left w:val="nil"/>
              <w:bottom w:val="nil"/>
              <w:right w:val="nil"/>
            </w:tcBorders>
          </w:tcPr>
          <w:p w:rsidR="00882FCC" w:rsidRPr="008551C2" w:rsidRDefault="00882FCC" w:rsidP="008551C2">
            <w:pPr>
              <w:pStyle w:val="a1"/>
              <w:spacing w:after="0"/>
              <w:jc w:val="center"/>
              <w:rPr>
                <w:rFonts w:cs="Times New Roman"/>
              </w:rPr>
            </w:pPr>
          </w:p>
        </w:tc>
        <w:tc>
          <w:tcPr>
            <w:tcW w:w="1559" w:type="dxa"/>
            <w:tcBorders>
              <w:left w:val="nil"/>
              <w:bottom w:val="single" w:sz="4" w:space="0" w:color="auto"/>
              <w:right w:val="nil"/>
            </w:tcBorders>
          </w:tcPr>
          <w:p w:rsidR="00882FCC" w:rsidRPr="008551C2" w:rsidRDefault="00882FCC" w:rsidP="008551C2">
            <w:pPr>
              <w:pStyle w:val="a1"/>
              <w:spacing w:after="0"/>
              <w:jc w:val="center"/>
              <w:rPr>
                <w:rFonts w:cs="Times New Roman"/>
              </w:rPr>
            </w:pPr>
            <w:r w:rsidRPr="008551C2">
              <w:rPr>
                <w:rFonts w:cs="Times New Roman"/>
              </w:rPr>
              <w:t>↓</w:t>
            </w:r>
          </w:p>
        </w:tc>
        <w:tc>
          <w:tcPr>
            <w:tcW w:w="284" w:type="dxa"/>
            <w:tcBorders>
              <w:left w:val="nil"/>
              <w:bottom w:val="nil"/>
              <w:right w:val="nil"/>
            </w:tcBorders>
          </w:tcPr>
          <w:p w:rsidR="00882FCC" w:rsidRPr="008551C2" w:rsidRDefault="00882FCC" w:rsidP="008551C2">
            <w:pPr>
              <w:pStyle w:val="a1"/>
              <w:spacing w:after="0"/>
              <w:jc w:val="center"/>
              <w:rPr>
                <w:rFonts w:cs="Times New Roman"/>
              </w:rPr>
            </w:pPr>
          </w:p>
        </w:tc>
        <w:tc>
          <w:tcPr>
            <w:tcW w:w="1559" w:type="dxa"/>
            <w:tcBorders>
              <w:left w:val="nil"/>
              <w:bottom w:val="single" w:sz="4" w:space="0" w:color="auto"/>
              <w:right w:val="nil"/>
            </w:tcBorders>
          </w:tcPr>
          <w:p w:rsidR="00882FCC" w:rsidRPr="008551C2" w:rsidRDefault="00882FCC" w:rsidP="008551C2">
            <w:pPr>
              <w:pStyle w:val="a1"/>
              <w:spacing w:after="0"/>
              <w:jc w:val="center"/>
              <w:rPr>
                <w:rFonts w:cs="Times New Roman"/>
              </w:rPr>
            </w:pPr>
            <w:r w:rsidRPr="008551C2">
              <w:rPr>
                <w:rFonts w:cs="Times New Roman"/>
              </w:rPr>
              <w:t>↓</w:t>
            </w:r>
          </w:p>
        </w:tc>
        <w:tc>
          <w:tcPr>
            <w:tcW w:w="283" w:type="dxa"/>
            <w:tcBorders>
              <w:left w:val="nil"/>
              <w:bottom w:val="nil"/>
              <w:right w:val="nil"/>
            </w:tcBorders>
          </w:tcPr>
          <w:p w:rsidR="00882FCC" w:rsidRPr="008551C2" w:rsidRDefault="00882FCC" w:rsidP="008551C2">
            <w:pPr>
              <w:pStyle w:val="a1"/>
              <w:spacing w:after="0"/>
              <w:jc w:val="center"/>
              <w:rPr>
                <w:rFonts w:cs="Times New Roman"/>
              </w:rPr>
            </w:pPr>
          </w:p>
        </w:tc>
        <w:tc>
          <w:tcPr>
            <w:tcW w:w="1276" w:type="dxa"/>
            <w:tcBorders>
              <w:left w:val="nil"/>
              <w:bottom w:val="single" w:sz="4" w:space="0" w:color="auto"/>
              <w:right w:val="nil"/>
            </w:tcBorders>
          </w:tcPr>
          <w:p w:rsidR="00882FCC" w:rsidRPr="008551C2" w:rsidRDefault="00882FCC" w:rsidP="008551C2">
            <w:pPr>
              <w:pStyle w:val="a1"/>
              <w:spacing w:after="0"/>
              <w:jc w:val="center"/>
              <w:rPr>
                <w:rFonts w:cs="Times New Roman"/>
              </w:rPr>
            </w:pPr>
            <w:r w:rsidRPr="008551C2">
              <w:rPr>
                <w:rFonts w:cs="Times New Roman"/>
              </w:rPr>
              <w:t>↓</w:t>
            </w:r>
          </w:p>
        </w:tc>
        <w:tc>
          <w:tcPr>
            <w:tcW w:w="284" w:type="dxa"/>
            <w:tcBorders>
              <w:left w:val="nil"/>
              <w:bottom w:val="nil"/>
              <w:right w:val="nil"/>
            </w:tcBorders>
          </w:tcPr>
          <w:p w:rsidR="00882FCC" w:rsidRPr="008551C2" w:rsidRDefault="00882FCC" w:rsidP="008551C2">
            <w:pPr>
              <w:pStyle w:val="a1"/>
              <w:spacing w:after="0"/>
              <w:jc w:val="center"/>
              <w:rPr>
                <w:rFonts w:cs="Times New Roman"/>
              </w:rPr>
            </w:pPr>
          </w:p>
        </w:tc>
        <w:tc>
          <w:tcPr>
            <w:tcW w:w="1382" w:type="dxa"/>
            <w:tcBorders>
              <w:left w:val="nil"/>
              <w:bottom w:val="single" w:sz="4" w:space="0" w:color="auto"/>
              <w:right w:val="nil"/>
            </w:tcBorders>
          </w:tcPr>
          <w:p w:rsidR="00882FCC" w:rsidRPr="008551C2" w:rsidRDefault="00882FCC" w:rsidP="008551C2">
            <w:pPr>
              <w:pStyle w:val="a1"/>
              <w:spacing w:after="0"/>
              <w:jc w:val="center"/>
              <w:rPr>
                <w:rFonts w:cs="Times New Roman"/>
              </w:rPr>
            </w:pPr>
            <w:r w:rsidRPr="008551C2">
              <w:rPr>
                <w:rFonts w:cs="Times New Roman"/>
              </w:rPr>
              <w:t>↓</w:t>
            </w:r>
          </w:p>
        </w:tc>
      </w:tr>
      <w:tr w:rsidR="00882FCC" w:rsidRPr="008551C2" w:rsidTr="005022DD">
        <w:trPr>
          <w:trHeight w:val="2971"/>
        </w:trPr>
        <w:tc>
          <w:tcPr>
            <w:tcW w:w="1242" w:type="dxa"/>
            <w:tcBorders>
              <w:bottom w:val="single" w:sz="4" w:space="0" w:color="auto"/>
            </w:tcBorders>
          </w:tcPr>
          <w:p w:rsidR="00882FCC" w:rsidRPr="008551C2" w:rsidRDefault="00882FCC" w:rsidP="008551C2">
            <w:pPr>
              <w:pStyle w:val="a1"/>
              <w:spacing w:after="0"/>
              <w:jc w:val="both"/>
              <w:rPr>
                <w:rFonts w:cs="Times New Roman"/>
              </w:rPr>
            </w:pPr>
          </w:p>
        </w:tc>
        <w:tc>
          <w:tcPr>
            <w:tcW w:w="284" w:type="dxa"/>
            <w:tcBorders>
              <w:top w:val="nil"/>
              <w:bottom w:val="nil"/>
            </w:tcBorders>
          </w:tcPr>
          <w:p w:rsidR="00882FCC" w:rsidRPr="008551C2" w:rsidRDefault="00882FCC" w:rsidP="008551C2">
            <w:pPr>
              <w:pStyle w:val="a1"/>
              <w:spacing w:after="0"/>
              <w:jc w:val="both"/>
              <w:rPr>
                <w:rFonts w:cs="Times New Roman"/>
              </w:rPr>
            </w:pPr>
          </w:p>
        </w:tc>
        <w:tc>
          <w:tcPr>
            <w:tcW w:w="1417" w:type="dxa"/>
            <w:tcBorders>
              <w:bottom w:val="single" w:sz="4" w:space="0" w:color="auto"/>
            </w:tcBorders>
          </w:tcPr>
          <w:p w:rsidR="00882FCC" w:rsidRPr="008551C2" w:rsidRDefault="00882FCC" w:rsidP="008551C2">
            <w:pPr>
              <w:pStyle w:val="a1"/>
              <w:spacing w:after="0"/>
              <w:jc w:val="both"/>
              <w:rPr>
                <w:rFonts w:cs="Times New Roman"/>
              </w:rPr>
            </w:pPr>
          </w:p>
        </w:tc>
        <w:tc>
          <w:tcPr>
            <w:tcW w:w="284" w:type="dxa"/>
            <w:tcBorders>
              <w:top w:val="nil"/>
              <w:bottom w:val="nil"/>
            </w:tcBorders>
          </w:tcPr>
          <w:p w:rsidR="00882FCC" w:rsidRPr="008551C2" w:rsidRDefault="00882FCC" w:rsidP="008551C2">
            <w:pPr>
              <w:pStyle w:val="a1"/>
              <w:spacing w:after="0"/>
              <w:jc w:val="both"/>
              <w:rPr>
                <w:rFonts w:cs="Times New Roman"/>
              </w:rPr>
            </w:pPr>
          </w:p>
        </w:tc>
        <w:tc>
          <w:tcPr>
            <w:tcW w:w="1559" w:type="dxa"/>
            <w:tcBorders>
              <w:bottom w:val="single" w:sz="4" w:space="0" w:color="auto"/>
            </w:tcBorders>
          </w:tcPr>
          <w:p w:rsidR="00882FCC" w:rsidRPr="008551C2" w:rsidRDefault="00882FCC" w:rsidP="008551C2">
            <w:pPr>
              <w:pStyle w:val="a1"/>
              <w:spacing w:after="0"/>
              <w:jc w:val="both"/>
              <w:rPr>
                <w:rFonts w:cs="Times New Roman"/>
              </w:rPr>
            </w:pPr>
          </w:p>
        </w:tc>
        <w:tc>
          <w:tcPr>
            <w:tcW w:w="284" w:type="dxa"/>
            <w:tcBorders>
              <w:top w:val="nil"/>
              <w:bottom w:val="nil"/>
            </w:tcBorders>
          </w:tcPr>
          <w:p w:rsidR="00882FCC" w:rsidRPr="008551C2" w:rsidRDefault="00882FCC" w:rsidP="008551C2">
            <w:pPr>
              <w:pStyle w:val="a1"/>
              <w:spacing w:after="0"/>
              <w:jc w:val="both"/>
              <w:rPr>
                <w:rFonts w:cs="Times New Roman"/>
              </w:rPr>
            </w:pPr>
          </w:p>
        </w:tc>
        <w:tc>
          <w:tcPr>
            <w:tcW w:w="1559" w:type="dxa"/>
            <w:tcBorders>
              <w:bottom w:val="single" w:sz="4" w:space="0" w:color="auto"/>
            </w:tcBorders>
          </w:tcPr>
          <w:p w:rsidR="00882FCC" w:rsidRPr="008551C2" w:rsidRDefault="00882FCC" w:rsidP="008551C2">
            <w:pPr>
              <w:pStyle w:val="a1"/>
              <w:spacing w:after="0"/>
              <w:jc w:val="both"/>
              <w:rPr>
                <w:rFonts w:cs="Times New Roman"/>
              </w:rPr>
            </w:pPr>
          </w:p>
        </w:tc>
        <w:tc>
          <w:tcPr>
            <w:tcW w:w="283" w:type="dxa"/>
            <w:tcBorders>
              <w:top w:val="nil"/>
              <w:bottom w:val="nil"/>
            </w:tcBorders>
          </w:tcPr>
          <w:p w:rsidR="00882FCC" w:rsidRPr="008551C2" w:rsidRDefault="00882FCC" w:rsidP="008551C2">
            <w:pPr>
              <w:pStyle w:val="a1"/>
              <w:spacing w:after="0"/>
              <w:jc w:val="both"/>
              <w:rPr>
                <w:rFonts w:cs="Times New Roman"/>
              </w:rPr>
            </w:pPr>
          </w:p>
        </w:tc>
        <w:tc>
          <w:tcPr>
            <w:tcW w:w="1276" w:type="dxa"/>
            <w:tcBorders>
              <w:bottom w:val="single" w:sz="4" w:space="0" w:color="auto"/>
            </w:tcBorders>
          </w:tcPr>
          <w:p w:rsidR="00882FCC" w:rsidRPr="008551C2" w:rsidRDefault="00882FCC" w:rsidP="008551C2">
            <w:pPr>
              <w:pStyle w:val="a1"/>
              <w:spacing w:after="0"/>
              <w:jc w:val="both"/>
              <w:rPr>
                <w:rFonts w:cs="Times New Roman"/>
              </w:rPr>
            </w:pPr>
          </w:p>
        </w:tc>
        <w:tc>
          <w:tcPr>
            <w:tcW w:w="284" w:type="dxa"/>
            <w:tcBorders>
              <w:top w:val="nil"/>
              <w:bottom w:val="nil"/>
            </w:tcBorders>
          </w:tcPr>
          <w:p w:rsidR="00882FCC" w:rsidRPr="008551C2" w:rsidRDefault="00882FCC" w:rsidP="008551C2">
            <w:pPr>
              <w:pStyle w:val="a1"/>
              <w:spacing w:after="0"/>
              <w:jc w:val="both"/>
              <w:rPr>
                <w:rFonts w:cs="Times New Roman"/>
              </w:rPr>
            </w:pPr>
          </w:p>
        </w:tc>
        <w:tc>
          <w:tcPr>
            <w:tcW w:w="1382" w:type="dxa"/>
            <w:tcBorders>
              <w:bottom w:val="single" w:sz="4" w:space="0" w:color="auto"/>
            </w:tcBorders>
          </w:tcPr>
          <w:p w:rsidR="00882FCC" w:rsidRPr="008551C2" w:rsidRDefault="00882FCC" w:rsidP="008551C2">
            <w:pPr>
              <w:pStyle w:val="a1"/>
              <w:spacing w:after="0"/>
              <w:jc w:val="both"/>
              <w:rPr>
                <w:rFonts w:cs="Times New Roman"/>
              </w:rPr>
            </w:pPr>
          </w:p>
        </w:tc>
      </w:tr>
      <w:tr w:rsidR="008551C2" w:rsidRPr="008551C2" w:rsidTr="008551C2">
        <w:trPr>
          <w:trHeight w:val="301"/>
        </w:trPr>
        <w:tc>
          <w:tcPr>
            <w:tcW w:w="4786" w:type="dxa"/>
            <w:gridSpan w:val="5"/>
            <w:tcBorders>
              <w:top w:val="nil"/>
              <w:left w:val="nil"/>
              <w:bottom w:val="nil"/>
              <w:right w:val="nil"/>
            </w:tcBorders>
          </w:tcPr>
          <w:p w:rsidR="008551C2" w:rsidRPr="008551C2" w:rsidRDefault="008551C2" w:rsidP="008551C2">
            <w:pPr>
              <w:pStyle w:val="a1"/>
              <w:spacing w:after="0"/>
              <w:jc w:val="both"/>
              <w:rPr>
                <w:rFonts w:cs="Times New Roman"/>
              </w:rPr>
            </w:pPr>
            <w:r w:rsidRPr="008551C2">
              <w:rPr>
                <w:rFonts w:cs="Times New Roman"/>
              </w:rPr>
              <w:t xml:space="preserve">В </w:t>
            </w:r>
            <w:proofErr w:type="spellStart"/>
            <w:r w:rsidRPr="008551C2">
              <w:rPr>
                <w:rFonts w:cs="Times New Roman"/>
              </w:rPr>
              <w:t>н</w:t>
            </w:r>
            <w:r>
              <w:rPr>
                <w:rFonts w:cs="Times New Roman"/>
              </w:rPr>
              <w:t>еденежной</w:t>
            </w:r>
            <w:proofErr w:type="spellEnd"/>
            <w:r>
              <w:rPr>
                <w:rFonts w:cs="Times New Roman"/>
              </w:rPr>
              <w:t xml:space="preserve"> </w:t>
            </w:r>
            <w:r w:rsidRPr="008551C2">
              <w:rPr>
                <w:rFonts w:cs="Times New Roman"/>
              </w:rPr>
              <w:t>(имущественной) форме</w:t>
            </w:r>
          </w:p>
        </w:tc>
        <w:tc>
          <w:tcPr>
            <w:tcW w:w="284" w:type="dxa"/>
            <w:tcBorders>
              <w:top w:val="nil"/>
              <w:left w:val="nil"/>
              <w:bottom w:val="nil"/>
              <w:right w:val="nil"/>
            </w:tcBorders>
          </w:tcPr>
          <w:p w:rsidR="008551C2" w:rsidRPr="008551C2" w:rsidRDefault="008551C2" w:rsidP="008551C2">
            <w:pPr>
              <w:pStyle w:val="a1"/>
              <w:spacing w:after="0"/>
              <w:jc w:val="both"/>
              <w:rPr>
                <w:rFonts w:cs="Times New Roman"/>
              </w:rPr>
            </w:pPr>
          </w:p>
        </w:tc>
        <w:tc>
          <w:tcPr>
            <w:tcW w:w="4784" w:type="dxa"/>
            <w:gridSpan w:val="5"/>
            <w:tcBorders>
              <w:top w:val="nil"/>
              <w:left w:val="nil"/>
              <w:bottom w:val="nil"/>
              <w:right w:val="nil"/>
            </w:tcBorders>
          </w:tcPr>
          <w:p w:rsidR="008551C2" w:rsidRPr="008551C2" w:rsidRDefault="008551C2" w:rsidP="008551C2">
            <w:pPr>
              <w:pStyle w:val="a1"/>
              <w:spacing w:after="0"/>
              <w:jc w:val="both"/>
              <w:rPr>
                <w:rFonts w:cs="Times New Roman"/>
              </w:rPr>
            </w:pPr>
            <w:r>
              <w:rPr>
                <w:rFonts w:cs="Times New Roman"/>
              </w:rPr>
              <w:t>В денежной форме</w:t>
            </w:r>
          </w:p>
        </w:tc>
      </w:tr>
    </w:tbl>
    <w:p w:rsidR="00882FCC" w:rsidRPr="008551C2" w:rsidRDefault="00882FCC" w:rsidP="008551C2">
      <w:pPr>
        <w:pStyle w:val="a1"/>
        <w:spacing w:after="0"/>
        <w:jc w:val="both"/>
        <w:rPr>
          <w:rFonts w:cs="Times New Roman"/>
        </w:rPr>
      </w:pPr>
    </w:p>
    <w:p w:rsidR="00C17B84" w:rsidRPr="005022DD" w:rsidRDefault="00094490" w:rsidP="008551C2">
      <w:pPr>
        <w:pStyle w:val="a1"/>
        <w:spacing w:after="0"/>
        <w:jc w:val="center"/>
        <w:rPr>
          <w:rFonts w:cs="Times New Roman"/>
          <w:b/>
        </w:rPr>
      </w:pPr>
      <w:r w:rsidRPr="005022DD">
        <w:rPr>
          <w:rFonts w:cs="Times New Roman"/>
          <w:b/>
        </w:rPr>
        <w:t>Способы обеспечения исполнения обязательств</w:t>
      </w:r>
    </w:p>
    <w:p w:rsidR="00C17B84" w:rsidRPr="008551C2" w:rsidRDefault="00094490" w:rsidP="008551C2">
      <w:pPr>
        <w:pStyle w:val="a1"/>
        <w:spacing w:after="0"/>
        <w:ind w:firstLine="709"/>
        <w:jc w:val="both"/>
        <w:rPr>
          <w:rFonts w:cs="Times New Roman"/>
        </w:rPr>
      </w:pPr>
      <w:r w:rsidRPr="008551C2">
        <w:rPr>
          <w:rFonts w:cs="Times New Roman"/>
        </w:rPr>
        <w:t xml:space="preserve">Гражданское законодательство </w:t>
      </w:r>
      <w:proofErr w:type="gramStart"/>
      <w:r w:rsidRPr="008551C2">
        <w:rPr>
          <w:rFonts w:cs="Times New Roman"/>
        </w:rPr>
        <w:t>обязывает должника надлежащим образом исполнять принятые обязательства и запрещает</w:t>
      </w:r>
      <w:proofErr w:type="gramEnd"/>
      <w:r w:rsidRPr="008551C2">
        <w:rPr>
          <w:rFonts w:cs="Times New Roman"/>
        </w:rPr>
        <w:t xml:space="preserve"> односторонний отказ от обязательства и одностороннее изменение его условий, кроме случаев, предусмотренных законом. Нарушение обязательства влечет для должника необходимость возместить причиненные им убытки.</w:t>
      </w:r>
    </w:p>
    <w:p w:rsidR="00C17B84" w:rsidRPr="008551C2" w:rsidRDefault="00094490" w:rsidP="008551C2">
      <w:pPr>
        <w:pStyle w:val="a1"/>
        <w:spacing w:after="0"/>
        <w:ind w:firstLine="709"/>
        <w:jc w:val="both"/>
        <w:rPr>
          <w:rFonts w:cs="Times New Roman"/>
        </w:rPr>
      </w:pPr>
      <w:r w:rsidRPr="008551C2">
        <w:rPr>
          <w:rFonts w:cs="Times New Roman"/>
        </w:rPr>
        <w:t xml:space="preserve">Однако на практике эти законодательные меры нередко оказываются недостаточными для защиты прав  другой стороны. Убытки должны быть подсчитаны и доказаны, а их взыскание </w:t>
      </w:r>
      <w:proofErr w:type="gramStart"/>
      <w:r w:rsidRPr="008551C2">
        <w:rPr>
          <w:rFonts w:cs="Times New Roman"/>
        </w:rPr>
        <w:t>требует соблюдения длительных судебных процедур и может</w:t>
      </w:r>
      <w:proofErr w:type="gramEnd"/>
      <w:r w:rsidRPr="008551C2">
        <w:rPr>
          <w:rFonts w:cs="Times New Roman"/>
        </w:rPr>
        <w:t xml:space="preserve"> оказаться безуспешным ввиду неплатежеспособности должника. Поэтому законодательством предусматриваются дополнительные правовые меры, призванные укреплять имущественный оборот и защищать интересы его участников.</w:t>
      </w:r>
    </w:p>
    <w:p w:rsidR="00C17B84" w:rsidRPr="008551C2" w:rsidRDefault="00094490" w:rsidP="008551C2">
      <w:pPr>
        <w:pStyle w:val="a1"/>
        <w:spacing w:after="0"/>
        <w:ind w:firstLine="709"/>
        <w:jc w:val="both"/>
        <w:rPr>
          <w:rFonts w:cs="Times New Roman"/>
        </w:rPr>
      </w:pPr>
      <w:r w:rsidRPr="008551C2">
        <w:rPr>
          <w:rFonts w:cs="Times New Roman"/>
        </w:rPr>
        <w:t xml:space="preserve">Такие меры именуются способами обеспечения исполнения обязательств. Они действуют в двух направлениях: </w:t>
      </w:r>
      <w:proofErr w:type="gramStart"/>
      <w:r w:rsidRPr="008551C2">
        <w:rPr>
          <w:rFonts w:cs="Times New Roman"/>
        </w:rPr>
        <w:t>стимулируют должника к надлежащему исполнению и одновременно облегчают</w:t>
      </w:r>
      <w:proofErr w:type="gramEnd"/>
      <w:r w:rsidRPr="008551C2">
        <w:rPr>
          <w:rFonts w:cs="Times New Roman"/>
        </w:rPr>
        <w:t xml:space="preserve"> кредитору возмещение его имущественных потерь в случае неисполне</w:t>
      </w:r>
      <w:r w:rsidR="008551C2">
        <w:rPr>
          <w:rFonts w:cs="Times New Roman"/>
        </w:rPr>
        <w:t>ния должником его обязательств.</w:t>
      </w:r>
    </w:p>
    <w:p w:rsidR="00C17B84" w:rsidRPr="008551C2" w:rsidRDefault="00094490" w:rsidP="008551C2">
      <w:pPr>
        <w:pStyle w:val="a1"/>
        <w:spacing w:after="0"/>
        <w:ind w:firstLine="709"/>
        <w:jc w:val="both"/>
        <w:rPr>
          <w:rFonts w:cs="Times New Roman"/>
        </w:rPr>
      </w:pPr>
      <w:r w:rsidRPr="008551C2">
        <w:rPr>
          <w:rFonts w:cs="Times New Roman"/>
        </w:rPr>
        <w:t xml:space="preserve">Неустойка является наиболее распространенным способом обеспечения обязательств, </w:t>
      </w:r>
      <w:proofErr w:type="gramStart"/>
      <w:r w:rsidRPr="008551C2">
        <w:rPr>
          <w:rFonts w:cs="Times New Roman"/>
        </w:rPr>
        <w:t>удобна для применения и предусматривается</w:t>
      </w:r>
      <w:proofErr w:type="gramEnd"/>
      <w:r w:rsidRPr="008551C2">
        <w:rPr>
          <w:rFonts w:cs="Times New Roman"/>
        </w:rPr>
        <w:t xml:space="preserve"> во всех договорах предпринимателей. В ст. 330 Гражданского кодекса неустойка характеризуется как определенная законом или договором денежная сумма, которую должник обязан уплатить кредитору в случае неисполнения или </w:t>
      </w:r>
      <w:r w:rsidRPr="008551C2">
        <w:rPr>
          <w:rFonts w:cs="Times New Roman"/>
        </w:rPr>
        <w:lastRenderedPageBreak/>
        <w:t>ненадлежащего исполнения обязательства.</w:t>
      </w:r>
    </w:p>
    <w:p w:rsidR="00C17B84" w:rsidRPr="008551C2" w:rsidRDefault="00094490" w:rsidP="008551C2">
      <w:pPr>
        <w:pStyle w:val="a1"/>
        <w:spacing w:after="0"/>
        <w:ind w:firstLine="709"/>
        <w:jc w:val="both"/>
        <w:rPr>
          <w:rFonts w:cs="Times New Roman"/>
        </w:rPr>
      </w:pPr>
      <w:r w:rsidRPr="008551C2">
        <w:rPr>
          <w:rFonts w:cs="Times New Roman"/>
        </w:rPr>
        <w:t xml:space="preserve">Неустойка может быть установлена в твердой сумме (например, 100 руб. за </w:t>
      </w:r>
      <w:proofErr w:type="spellStart"/>
      <w:r w:rsidRPr="008551C2">
        <w:rPr>
          <w:rFonts w:cs="Times New Roman"/>
        </w:rPr>
        <w:t>невысылку</w:t>
      </w:r>
      <w:proofErr w:type="spellEnd"/>
      <w:r w:rsidRPr="008551C2">
        <w:rPr>
          <w:rFonts w:cs="Times New Roman"/>
        </w:rPr>
        <w:t xml:space="preserve"> извещения о произведенной отгрузке поставляемого товара), в процентах к сумме неисполненного обязательства (например, 1% с суммы просроченного платежа), а также иметь форму повышенной оплаты поставленного товара или оказываемой услуги (например, взыскание с грузополучателей повышенной </w:t>
      </w:r>
      <w:proofErr w:type="gramStart"/>
      <w:r w:rsidRPr="008551C2">
        <w:rPr>
          <w:rFonts w:cs="Times New Roman"/>
        </w:rPr>
        <w:t>платы</w:t>
      </w:r>
      <w:proofErr w:type="gramEnd"/>
      <w:r w:rsidRPr="008551C2">
        <w:rPr>
          <w:rFonts w:cs="Times New Roman"/>
        </w:rPr>
        <w:t xml:space="preserve"> за хранение несвоевременно вывезенных грузов). При этом неустойка может начисляться или однократно, или за каждый день нарушения договора. В последнем случае ее принято ограничивать определенным максимумом, обычно 8-10% общей суммы нарушенного обязательства.</w:t>
      </w:r>
    </w:p>
    <w:p w:rsidR="00C17B84" w:rsidRPr="008551C2" w:rsidRDefault="00094490" w:rsidP="008551C2">
      <w:pPr>
        <w:pStyle w:val="a1"/>
        <w:spacing w:after="0"/>
        <w:ind w:firstLine="709"/>
        <w:jc w:val="both"/>
        <w:rPr>
          <w:rFonts w:cs="Times New Roman"/>
        </w:rPr>
      </w:pPr>
      <w:r w:rsidRPr="008551C2">
        <w:rPr>
          <w:rFonts w:cs="Times New Roman"/>
        </w:rPr>
        <w:t>Залог имущества</w:t>
      </w:r>
      <w:r w:rsidR="00B62131" w:rsidRPr="008551C2">
        <w:rPr>
          <w:rFonts w:cs="Times New Roman"/>
        </w:rPr>
        <w:t xml:space="preserve"> </w:t>
      </w:r>
      <w:r w:rsidRPr="008551C2">
        <w:rPr>
          <w:rFonts w:cs="Times New Roman"/>
        </w:rPr>
        <w:t>-</w:t>
      </w:r>
      <w:r w:rsidR="00B62131" w:rsidRPr="008551C2">
        <w:rPr>
          <w:rFonts w:cs="Times New Roman"/>
        </w:rPr>
        <w:t xml:space="preserve"> </w:t>
      </w:r>
      <w:r w:rsidRPr="008551C2">
        <w:rPr>
          <w:rFonts w:cs="Times New Roman"/>
        </w:rPr>
        <w:t xml:space="preserve">это также способ исполнения обязательств. В силу залога кредитор  по обеспеченному </w:t>
      </w:r>
      <w:proofErr w:type="gramStart"/>
      <w:r w:rsidRPr="008551C2">
        <w:rPr>
          <w:rFonts w:cs="Times New Roman"/>
        </w:rPr>
        <w:t>залогом обязательству</w:t>
      </w:r>
      <w:proofErr w:type="gramEnd"/>
      <w:r w:rsidRPr="008551C2">
        <w:rPr>
          <w:rFonts w:cs="Times New Roman"/>
        </w:rPr>
        <w:t xml:space="preserve"> (залогодержатель) получает право при неисполнении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Залогодателем, как правило, является должник по обеспечиваемому обязательству, однако им может быть также третье лицо, действующее в интересах должника.</w:t>
      </w:r>
    </w:p>
    <w:p w:rsidR="00C17B84" w:rsidRPr="008551C2" w:rsidRDefault="00094490" w:rsidP="008551C2">
      <w:pPr>
        <w:pStyle w:val="a1"/>
        <w:spacing w:after="0"/>
        <w:ind w:firstLine="709"/>
        <w:jc w:val="both"/>
        <w:rPr>
          <w:rFonts w:cs="Times New Roman"/>
        </w:rPr>
      </w:pPr>
      <w:r w:rsidRPr="008551C2">
        <w:rPr>
          <w:rFonts w:cs="Times New Roman"/>
        </w:rPr>
        <w:t>Преимущества залога как обеспечительной меры состоят в выделении должником-залогодателем имущества, по стоимости соответствующего значению обеспечиваемого обязательства. Наличие такого имущества должно давать кредитору-залогодержателю реальные возможности для удовлетворения его требований в случае нарушения обязательства должником, притом преимущественно перед требованиями других кредиторов. Условие о неустойке такой надежности не создает, ибо должник может оказаться неплатежеспособным или вообще прекратить свое существование. Закон допускает установление залога также в отношении вещей и имущественных прав, которые залогодатель приобретет в будущем (п. 6 ст. 340 ГК).</w:t>
      </w:r>
    </w:p>
    <w:p w:rsidR="00C17B84" w:rsidRPr="008551C2" w:rsidRDefault="00094490" w:rsidP="008551C2">
      <w:pPr>
        <w:pStyle w:val="a1"/>
        <w:spacing w:after="0"/>
        <w:ind w:firstLine="709"/>
        <w:jc w:val="both"/>
        <w:rPr>
          <w:rFonts w:cs="Times New Roman"/>
        </w:rPr>
      </w:pPr>
      <w:r w:rsidRPr="008551C2">
        <w:rPr>
          <w:rFonts w:cs="Times New Roman"/>
        </w:rPr>
        <w:t>Предметом залога может быть всякое имущество, в том числе имущественные права (требования), за исключением изъятого из оборота, неразрывно связанного с личностью кредитора (алименты, возмещение вреда, причиненного здоровью), и иных прав, уступка которых другому лицу законом запрещена. В законодательстве назван ряд таких объектов (лесные и земельные участки, объекты культуры, не относящиеся к бытовым изделиям золото и сере</w:t>
      </w:r>
      <w:r w:rsidR="008551C2">
        <w:rPr>
          <w:rFonts w:cs="Times New Roman"/>
        </w:rPr>
        <w:t>бро и др.).</w:t>
      </w:r>
    </w:p>
    <w:p w:rsidR="00C17B84" w:rsidRPr="008551C2" w:rsidRDefault="00094490" w:rsidP="008551C2">
      <w:pPr>
        <w:pStyle w:val="a1"/>
        <w:spacing w:after="0"/>
        <w:ind w:firstLine="709"/>
        <w:jc w:val="both"/>
        <w:rPr>
          <w:rFonts w:cs="Times New Roman"/>
        </w:rPr>
      </w:pPr>
      <w:r w:rsidRPr="008551C2">
        <w:rPr>
          <w:rFonts w:cs="Times New Roman"/>
        </w:rPr>
        <w:t xml:space="preserve">Как </w:t>
      </w:r>
      <w:r w:rsidR="00B62131" w:rsidRPr="008551C2">
        <w:rPr>
          <w:rFonts w:cs="Times New Roman"/>
        </w:rPr>
        <w:t xml:space="preserve">способ обеспечения обязательств </w:t>
      </w:r>
      <w:r w:rsidRPr="008551C2">
        <w:rPr>
          <w:rFonts w:cs="Times New Roman"/>
        </w:rPr>
        <w:t xml:space="preserve">удержание имущества должника состоит в праве кредитора, у которого находится </w:t>
      </w:r>
      <w:hyperlink r:id="rId6" w:history="1">
        <w:r w:rsidRPr="008551C2">
          <w:rPr>
            <w:rStyle w:val="a5"/>
            <w:rFonts w:cs="Times New Roman"/>
            <w:color w:val="000000"/>
            <w:u w:val="none"/>
          </w:rPr>
          <w:t>вещь</w:t>
        </w:r>
      </w:hyperlink>
      <w:r w:rsidRPr="008551C2">
        <w:rPr>
          <w:rFonts w:cs="Times New Roman"/>
        </w:rPr>
        <w:t xml:space="preserve"> другого лица, например подрядчика, перевозчика, хранителя, удерживать эту вещь в своем владении до тех пор, пока это лицо (должник) не погасит связанные с данной вещью платежи. Если такие платежи не последуют, требования кредитора удовлетворяются из стоимости вещи в порядке, установленном для </w:t>
      </w:r>
      <w:hyperlink r:id="rId7" w:history="1">
        <w:r w:rsidRPr="008551C2">
          <w:rPr>
            <w:rStyle w:val="a5"/>
            <w:rFonts w:cs="Times New Roman"/>
            <w:color w:val="000000"/>
            <w:u w:val="none"/>
          </w:rPr>
          <w:t>залога</w:t>
        </w:r>
      </w:hyperlink>
      <w:r w:rsidRPr="008551C2">
        <w:rPr>
          <w:rFonts w:cs="Times New Roman"/>
        </w:rPr>
        <w:t>.</w:t>
      </w:r>
    </w:p>
    <w:p w:rsidR="00C17B84" w:rsidRPr="008551C2" w:rsidRDefault="00094490" w:rsidP="008551C2">
      <w:pPr>
        <w:pStyle w:val="a1"/>
        <w:spacing w:after="0"/>
        <w:ind w:firstLine="709"/>
        <w:jc w:val="both"/>
        <w:rPr>
          <w:rFonts w:cs="Times New Roman"/>
        </w:rPr>
      </w:pPr>
      <w:r w:rsidRPr="008551C2">
        <w:rPr>
          <w:rFonts w:cs="Times New Roman"/>
        </w:rPr>
        <w:t>В отличие от других обеспечительных мер, удержание возникает в силу норм з</w:t>
      </w:r>
      <w:r w:rsidRPr="008551C2">
        <w:rPr>
          <w:rFonts w:cs="Times New Roman"/>
          <w:color w:val="000000"/>
        </w:rPr>
        <w:t>акона.</w:t>
      </w:r>
    </w:p>
    <w:p w:rsidR="00C17B84" w:rsidRPr="008551C2" w:rsidRDefault="00094490" w:rsidP="008551C2">
      <w:pPr>
        <w:pStyle w:val="a1"/>
        <w:spacing w:after="0"/>
        <w:ind w:firstLine="709"/>
        <w:jc w:val="both"/>
        <w:rPr>
          <w:rFonts w:cs="Times New Roman"/>
        </w:rPr>
      </w:pPr>
      <w:r w:rsidRPr="008551C2">
        <w:rPr>
          <w:rFonts w:cs="Times New Roman"/>
        </w:rPr>
        <w:t xml:space="preserve">Применительно к институту удержания возникают два вопроса общего характера: какие вещи могут быть предметом удержания и для </w:t>
      </w:r>
      <w:proofErr w:type="gramStart"/>
      <w:r w:rsidRPr="008551C2">
        <w:rPr>
          <w:rFonts w:cs="Times New Roman"/>
        </w:rPr>
        <w:t>обеспечения</w:t>
      </w:r>
      <w:proofErr w:type="gramEnd"/>
      <w:r w:rsidRPr="008551C2">
        <w:rPr>
          <w:rFonts w:cs="Times New Roman"/>
        </w:rPr>
        <w:t xml:space="preserve"> каких требований институт удержания может использоваться.</w:t>
      </w:r>
    </w:p>
    <w:p w:rsidR="00C17B84" w:rsidRPr="008551C2" w:rsidRDefault="008551C2" w:rsidP="008551C2">
      <w:pPr>
        <w:pStyle w:val="a1"/>
        <w:spacing w:after="0"/>
        <w:ind w:firstLine="709"/>
        <w:jc w:val="both"/>
        <w:rPr>
          <w:rFonts w:cs="Times New Roman"/>
        </w:rPr>
      </w:pPr>
      <w:r>
        <w:rPr>
          <w:rFonts w:cs="Times New Roman"/>
        </w:rPr>
        <w:t>Термин «</w:t>
      </w:r>
      <w:r w:rsidR="00094490" w:rsidRPr="008551C2">
        <w:rPr>
          <w:rFonts w:cs="Times New Roman"/>
        </w:rPr>
        <w:t>вещь</w:t>
      </w:r>
      <w:r>
        <w:rPr>
          <w:rFonts w:cs="Times New Roman"/>
        </w:rPr>
        <w:t>»</w:t>
      </w:r>
      <w:r w:rsidR="00094490" w:rsidRPr="008551C2">
        <w:rPr>
          <w:rFonts w:cs="Times New Roman"/>
        </w:rPr>
        <w:t xml:space="preserve"> </w:t>
      </w:r>
      <w:proofErr w:type="gramStart"/>
      <w:r w:rsidR="00094490" w:rsidRPr="008551C2">
        <w:rPr>
          <w:rFonts w:cs="Times New Roman"/>
        </w:rPr>
        <w:t xml:space="preserve">имеет в </w:t>
      </w:r>
      <w:hyperlink r:id="rId8" w:history="1">
        <w:r w:rsidR="00094490" w:rsidRPr="008551C2">
          <w:rPr>
            <w:rStyle w:val="a5"/>
            <w:rFonts w:cs="Times New Roman"/>
            <w:color w:val="000000"/>
            <w:u w:val="none"/>
          </w:rPr>
          <w:t>гражданском праве</w:t>
        </w:r>
      </w:hyperlink>
      <w:r w:rsidR="00094490" w:rsidRPr="008551C2">
        <w:rPr>
          <w:rFonts w:cs="Times New Roman"/>
        </w:rPr>
        <w:t xml:space="preserve"> широкое содержание и охватывает</w:t>
      </w:r>
      <w:proofErr w:type="gramEnd"/>
      <w:r w:rsidR="00094490" w:rsidRPr="008551C2">
        <w:rPr>
          <w:rFonts w:cs="Times New Roman"/>
        </w:rPr>
        <w:t xml:space="preserve"> всякого рода имущество, в том числе </w:t>
      </w:r>
      <w:hyperlink r:id="rId9" w:history="1">
        <w:r w:rsidR="00094490" w:rsidRPr="008551C2">
          <w:rPr>
            <w:rStyle w:val="a5"/>
            <w:rFonts w:cs="Times New Roman"/>
            <w:color w:val="000000"/>
            <w:u w:val="none"/>
          </w:rPr>
          <w:t>деньги</w:t>
        </w:r>
      </w:hyperlink>
      <w:r w:rsidR="00094490" w:rsidRPr="008551C2">
        <w:rPr>
          <w:rFonts w:cs="Times New Roman"/>
        </w:rPr>
        <w:t>. Поэтому надлежит заключить, что при отсутствии в гражданском законодательстве прямых ограничений предметом удержания могут быть любые не изъятые из оборота вещи, в том числе деньги.</w:t>
      </w:r>
    </w:p>
    <w:p w:rsidR="00C17B84" w:rsidRPr="008551C2" w:rsidRDefault="00094490" w:rsidP="008551C2">
      <w:pPr>
        <w:pStyle w:val="a1"/>
        <w:spacing w:after="0"/>
        <w:ind w:firstLine="709"/>
        <w:jc w:val="both"/>
        <w:rPr>
          <w:rFonts w:cs="Times New Roman"/>
        </w:rPr>
      </w:pPr>
      <w:r w:rsidRPr="008551C2">
        <w:rPr>
          <w:rFonts w:cs="Times New Roman"/>
        </w:rPr>
        <w:t>В отношении круга требований, для обеспечения которых может использоваться удержание, Гражданский кодекс содержит широкую формулировку. Удержание допускается при неисполнении должником в срок обязательства по оплате вещи, возмещению связанных с</w:t>
      </w:r>
      <w:r w:rsidR="008551C2">
        <w:rPr>
          <w:rFonts w:cs="Times New Roman"/>
        </w:rPr>
        <w:t xml:space="preserve"> ней издержек и других убытков.</w:t>
      </w:r>
    </w:p>
    <w:p w:rsidR="00C17B84" w:rsidRPr="008551C2" w:rsidRDefault="00094490" w:rsidP="008551C2">
      <w:pPr>
        <w:pStyle w:val="a1"/>
        <w:spacing w:after="0"/>
        <w:ind w:firstLine="709"/>
        <w:jc w:val="both"/>
        <w:rPr>
          <w:rFonts w:cs="Times New Roman"/>
        </w:rPr>
      </w:pPr>
      <w:r w:rsidRPr="008551C2">
        <w:rPr>
          <w:rFonts w:cs="Times New Roman"/>
        </w:rPr>
        <w:t xml:space="preserve">Еще одним способом обеспечения исполнения обязательств является поручительство, которое представляет собой договор, в силу которого одно лицо (поручитель) обязывается перед другим лицом (кредитором) отвечать за исполнение третьим лицом - должником его </w:t>
      </w:r>
      <w:hyperlink r:id="rId10" w:history="1">
        <w:r w:rsidRPr="008551C2">
          <w:rPr>
            <w:rStyle w:val="a5"/>
            <w:rFonts w:cs="Times New Roman"/>
            <w:color w:val="000000"/>
            <w:u w:val="none"/>
          </w:rPr>
          <w:t>обязательства</w:t>
        </w:r>
      </w:hyperlink>
      <w:r w:rsidRPr="008551C2">
        <w:rPr>
          <w:rFonts w:cs="Times New Roman"/>
        </w:rPr>
        <w:t xml:space="preserve"> полностью или в части. Предмет договора поручительства необычен - </w:t>
      </w:r>
      <w:r w:rsidR="00D522FD">
        <w:rPr>
          <w:rFonts w:cs="Times New Roman"/>
        </w:rPr>
        <w:lastRenderedPageBreak/>
        <w:t xml:space="preserve">обязательство нести </w:t>
      </w:r>
      <w:r w:rsidRPr="008551C2">
        <w:rPr>
          <w:rFonts w:cs="Times New Roman"/>
        </w:rPr>
        <w:t>за другое лицо, и это предопределяет особенности данного договора. Такой договор под страхом его недействительности должен совершаться письменно и может иметь форму самостоятельного договора между поручителем и кредитором или же быть условием, включенным в договор кредитора с должником. В этом втором случае договор должен быть подписан также поручителем.</w:t>
      </w:r>
    </w:p>
    <w:p w:rsidR="00C17B84" w:rsidRPr="008551C2" w:rsidRDefault="00094490" w:rsidP="008551C2">
      <w:pPr>
        <w:pStyle w:val="a1"/>
        <w:spacing w:after="0"/>
        <w:ind w:firstLine="709"/>
        <w:jc w:val="both"/>
        <w:rPr>
          <w:rFonts w:cs="Times New Roman"/>
        </w:rPr>
      </w:pPr>
      <w:r w:rsidRPr="008551C2">
        <w:rPr>
          <w:rFonts w:cs="Times New Roman"/>
        </w:rPr>
        <w:t xml:space="preserve">Предметом поручительства могут быть любые обязательства, включая обязательства, которые возникнут в будущем. Однако поручитель отвечает за </w:t>
      </w:r>
      <w:hyperlink r:id="rId11" w:history="1">
        <w:r w:rsidRPr="008551C2">
          <w:rPr>
            <w:rStyle w:val="a5"/>
            <w:rFonts w:cs="Times New Roman"/>
            <w:color w:val="000000"/>
            <w:u w:val="none"/>
          </w:rPr>
          <w:t>исполнение обязательства</w:t>
        </w:r>
      </w:hyperlink>
      <w:r w:rsidRPr="008551C2">
        <w:rPr>
          <w:rFonts w:cs="Times New Roman"/>
        </w:rPr>
        <w:t xml:space="preserve"> только в денежной форме. Претензии о реальном исполнении, устранении недоделок, совершении действий к поручи</w:t>
      </w:r>
      <w:r w:rsidR="008551C2">
        <w:rPr>
          <w:rFonts w:cs="Times New Roman"/>
        </w:rPr>
        <w:t>телю предъявлены быть не могут.</w:t>
      </w:r>
    </w:p>
    <w:p w:rsidR="00C17B84" w:rsidRPr="008551C2" w:rsidRDefault="00094490" w:rsidP="008551C2">
      <w:pPr>
        <w:pStyle w:val="a1"/>
        <w:spacing w:after="0"/>
        <w:ind w:firstLine="709"/>
        <w:jc w:val="both"/>
        <w:rPr>
          <w:rFonts w:cs="Times New Roman"/>
        </w:rPr>
      </w:pPr>
      <w:bookmarkStart w:id="0" w:name="7"/>
      <w:bookmarkEnd w:id="0"/>
      <w:r w:rsidRPr="008551C2">
        <w:rPr>
          <w:rFonts w:cs="Times New Roman"/>
        </w:rPr>
        <w:t>Банковская гарантия как способ обеспечения исполнения обязатель</w:t>
      </w:r>
      <w:proofErr w:type="gramStart"/>
      <w:r w:rsidRPr="008551C2">
        <w:rPr>
          <w:rFonts w:cs="Times New Roman"/>
        </w:rPr>
        <w:t>ств сх</w:t>
      </w:r>
      <w:proofErr w:type="gramEnd"/>
      <w:r w:rsidRPr="008551C2">
        <w:rPr>
          <w:rFonts w:cs="Times New Roman"/>
        </w:rPr>
        <w:t>ожа с</w:t>
      </w:r>
      <w:r w:rsidRPr="008551C2">
        <w:rPr>
          <w:rFonts w:cs="Times New Roman"/>
          <w:color w:val="000000"/>
        </w:rPr>
        <w:t xml:space="preserve"> </w:t>
      </w:r>
      <w:hyperlink r:id="rId12" w:history="1">
        <w:r w:rsidRPr="008551C2">
          <w:rPr>
            <w:rStyle w:val="a5"/>
            <w:rFonts w:cs="Times New Roman"/>
            <w:color w:val="000000"/>
            <w:u w:val="none"/>
          </w:rPr>
          <w:t>поручительством</w:t>
        </w:r>
      </w:hyperlink>
      <w:r w:rsidRPr="008551C2">
        <w:rPr>
          <w:rFonts w:cs="Times New Roman"/>
        </w:rPr>
        <w:t>, однако и по основаниям возникновения, и по своему содержанию с</w:t>
      </w:r>
      <w:r w:rsidR="00B62131" w:rsidRPr="008551C2">
        <w:rPr>
          <w:rFonts w:cs="Times New Roman"/>
        </w:rPr>
        <w:t>ущественно от него отличается. В</w:t>
      </w:r>
      <w:r w:rsidRPr="008551C2">
        <w:rPr>
          <w:rFonts w:cs="Times New Roman"/>
        </w:rPr>
        <w:t xml:space="preserve"> силу банковской гарантии банк, иное кредитное учреждение или страховая организация (гарант) дают по просьбе другого лица (принципала) письменное </w:t>
      </w:r>
      <w:hyperlink r:id="rId13" w:history="1">
        <w:r w:rsidRPr="008551C2">
          <w:rPr>
            <w:rStyle w:val="a5"/>
            <w:rFonts w:cs="Times New Roman"/>
            <w:color w:val="000000"/>
            <w:u w:val="none"/>
          </w:rPr>
          <w:t>обязательство</w:t>
        </w:r>
      </w:hyperlink>
      <w:r w:rsidRPr="008551C2">
        <w:rPr>
          <w:rFonts w:cs="Times New Roman"/>
        </w:rPr>
        <w:t xml:space="preserve"> уплатить кредитору принципала (бенефициару) в соответствии с условиями гарантии денежную сумму по представлении бенефициаром письм</w:t>
      </w:r>
      <w:r w:rsidR="00D522FD">
        <w:rPr>
          <w:rFonts w:cs="Times New Roman"/>
        </w:rPr>
        <w:t xml:space="preserve">енного требования о ее уплате. </w:t>
      </w:r>
      <w:r w:rsidRPr="008551C2">
        <w:rPr>
          <w:rFonts w:cs="Times New Roman"/>
        </w:rPr>
        <w:t>Поскольку банковская гарантия выдается финансовыми учреждениями, платежеспособность которых является устойчивой, она в силу названных ее правовых особенностей дает кредитору по обязательству (бенефициару) уверенность в том, что в случае несоблюдения условий обязательства, обеспеченного гарантией, он получит обозначенную в ней денежную сумму для покрытия возможных убытков. Банковской гарантией могут обеспечиваться не только договорные, но и внедоговорные обязательства, например, связанные с морскими авариями.</w:t>
      </w:r>
    </w:p>
    <w:p w:rsidR="00C17B84" w:rsidRPr="008551C2" w:rsidRDefault="00D522FD" w:rsidP="008551C2">
      <w:pPr>
        <w:pStyle w:val="a1"/>
        <w:spacing w:after="0"/>
        <w:ind w:firstLine="709"/>
        <w:jc w:val="both"/>
        <w:rPr>
          <w:rFonts w:cs="Times New Roman"/>
        </w:rPr>
      </w:pPr>
      <w:hyperlink r:id="rId14" w:history="1">
        <w:r w:rsidR="00094490" w:rsidRPr="008551C2">
          <w:rPr>
            <w:rStyle w:val="a5"/>
            <w:rFonts w:cs="Times New Roman"/>
            <w:color w:val="000000"/>
            <w:u w:val="none"/>
          </w:rPr>
          <w:t>Задаток</w:t>
        </w:r>
      </w:hyperlink>
      <w:r w:rsidR="00094490" w:rsidRPr="008551C2">
        <w:rPr>
          <w:rFonts w:cs="Times New Roman"/>
        </w:rPr>
        <w:t xml:space="preserve"> </w:t>
      </w:r>
      <w:proofErr w:type="gramStart"/>
      <w:r w:rsidR="00094490" w:rsidRPr="008551C2">
        <w:rPr>
          <w:rFonts w:cs="Times New Roman"/>
        </w:rPr>
        <w:t>является простым и удобным способом обеспечения исполнения обязательства и широко применяется</w:t>
      </w:r>
      <w:proofErr w:type="gramEnd"/>
      <w:r w:rsidR="00094490" w:rsidRPr="008551C2">
        <w:rPr>
          <w:rFonts w:cs="Times New Roman"/>
        </w:rPr>
        <w:t xml:space="preserve"> в бытовых отношениях </w:t>
      </w:r>
      <w:hyperlink r:id="rId15" w:history="1">
        <w:r w:rsidR="00094490" w:rsidRPr="008551C2">
          <w:rPr>
            <w:rStyle w:val="a5"/>
            <w:rFonts w:cs="Times New Roman"/>
            <w:color w:val="000000"/>
            <w:u w:val="none"/>
          </w:rPr>
          <w:t>граждан</w:t>
        </w:r>
      </w:hyperlink>
      <w:r w:rsidR="00094490" w:rsidRPr="008551C2">
        <w:rPr>
          <w:rFonts w:cs="Times New Roman"/>
        </w:rPr>
        <w:t xml:space="preserve"> при </w:t>
      </w:r>
      <w:hyperlink r:id="rId16" w:history="1">
        <w:r w:rsidR="00094490" w:rsidRPr="008551C2">
          <w:rPr>
            <w:rStyle w:val="a5"/>
            <w:rFonts w:cs="Times New Roman"/>
            <w:color w:val="000000"/>
            <w:u w:val="none"/>
          </w:rPr>
          <w:t>заключении ими договоров</w:t>
        </w:r>
      </w:hyperlink>
      <w:r w:rsidR="00094490" w:rsidRPr="008551C2">
        <w:rPr>
          <w:rFonts w:cs="Times New Roman"/>
        </w:rPr>
        <w:t xml:space="preserve">. Задаток может использоваться также в предпринимательских отношениях, например при проведении торгов, в подрядных </w:t>
      </w:r>
      <w:hyperlink r:id="rId17" w:history="1">
        <w:r w:rsidR="00094490" w:rsidRPr="008551C2">
          <w:rPr>
            <w:rStyle w:val="a5"/>
            <w:rFonts w:cs="Times New Roman"/>
            <w:color w:val="000000"/>
            <w:u w:val="none"/>
          </w:rPr>
          <w:t>договорах</w:t>
        </w:r>
      </w:hyperlink>
      <w:r w:rsidR="00094490" w:rsidRPr="008551C2">
        <w:rPr>
          <w:rFonts w:cs="Times New Roman"/>
        </w:rPr>
        <w:t>.</w:t>
      </w:r>
    </w:p>
    <w:p w:rsidR="00C17B84" w:rsidRPr="008551C2" w:rsidRDefault="00094490" w:rsidP="008551C2">
      <w:pPr>
        <w:pStyle w:val="a1"/>
        <w:spacing w:after="0"/>
        <w:ind w:firstLine="709"/>
        <w:jc w:val="both"/>
        <w:rPr>
          <w:rFonts w:cs="Times New Roman"/>
        </w:rPr>
      </w:pPr>
      <w:r w:rsidRPr="008551C2">
        <w:rPr>
          <w:rFonts w:cs="Times New Roman"/>
        </w:rPr>
        <w:t xml:space="preserve">Задатком признается денежная сумма, выдаваемая одной из договаривающихся сторон в счет причитающихся с нее по договору платежей другой стороне в </w:t>
      </w:r>
      <w:r w:rsidRPr="008551C2">
        <w:rPr>
          <w:rFonts w:cs="Times New Roman"/>
          <w:color w:val="000000"/>
        </w:rPr>
        <w:t>заключения до</w:t>
      </w:r>
      <w:r w:rsidRPr="008551C2">
        <w:rPr>
          <w:rFonts w:cs="Times New Roman"/>
        </w:rPr>
        <w:t>говора и в обеспечение его исполнения.</w:t>
      </w:r>
    </w:p>
    <w:p w:rsidR="00C17B84" w:rsidRPr="008551C2" w:rsidRDefault="00094490" w:rsidP="008551C2">
      <w:pPr>
        <w:pStyle w:val="a1"/>
        <w:spacing w:after="0"/>
        <w:ind w:firstLine="709"/>
        <w:jc w:val="both"/>
        <w:rPr>
          <w:rFonts w:cs="Times New Roman"/>
        </w:rPr>
      </w:pPr>
      <w:r w:rsidRPr="008551C2">
        <w:rPr>
          <w:rFonts w:cs="Times New Roman"/>
        </w:rPr>
        <w:t>Задаток выполняет ряд функций. Обеспечительная функция состоит в том, что если за неисполнение договора ответственна сторона, давшая задаток, он остается у другой стороны. Если же за неисполнение договора ответственна сторона, получившая задаток, она обязана уплатить другой стороне двойную сумму задатка. 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3F4AB8" w:rsidRDefault="00094490" w:rsidP="00693196">
      <w:pPr>
        <w:pStyle w:val="a1"/>
        <w:spacing w:after="0"/>
        <w:ind w:firstLine="709"/>
        <w:jc w:val="both"/>
        <w:rPr>
          <w:rFonts w:cs="Times New Roman"/>
        </w:rPr>
      </w:pPr>
      <w:r w:rsidRPr="008551C2">
        <w:rPr>
          <w:rFonts w:cs="Times New Roman"/>
        </w:rPr>
        <w:t xml:space="preserve">Задаток следует отличать от аванса - суммы, уплаченной стороной в счет причитающихся с нее платежей по заключенному договору. Как и задаток, аванс является платежом по договору и доказательством его заключения, но он не выполняет обеспечительную функцию. В случае сомнений относительно того, является ли сумма, уплаченная в счет платежей, задатком или авансом, она считается </w:t>
      </w:r>
      <w:r w:rsidR="00693196">
        <w:rPr>
          <w:rFonts w:cs="Times New Roman"/>
        </w:rPr>
        <w:t>авансом, если не доказано иное.</w:t>
      </w:r>
    </w:p>
    <w:p w:rsidR="00693196" w:rsidRPr="008551C2" w:rsidRDefault="00693196" w:rsidP="00693196">
      <w:pPr>
        <w:pStyle w:val="a1"/>
        <w:spacing w:after="0"/>
        <w:ind w:firstLine="709"/>
        <w:jc w:val="both"/>
        <w:rPr>
          <w:rFonts w:cs="Times New Roman"/>
          <w:b/>
          <w:bCs/>
        </w:rPr>
      </w:pPr>
    </w:p>
    <w:p w:rsidR="00C17B84" w:rsidRPr="004B3E04" w:rsidRDefault="00094490" w:rsidP="008551C2">
      <w:pPr>
        <w:pStyle w:val="a1"/>
        <w:spacing w:after="0"/>
        <w:jc w:val="both"/>
        <w:rPr>
          <w:rFonts w:cs="Times New Roman"/>
          <w:u w:val="single"/>
        </w:rPr>
      </w:pPr>
      <w:r w:rsidRPr="004B3E04">
        <w:rPr>
          <w:rFonts w:cs="Times New Roman"/>
          <w:bCs/>
          <w:u w:val="single"/>
        </w:rPr>
        <w:t>Инструмент проверки</w:t>
      </w:r>
    </w:p>
    <w:p w:rsidR="003F4AB8" w:rsidRPr="004B3E04" w:rsidRDefault="003F4AB8" w:rsidP="008551C2">
      <w:pPr>
        <w:pStyle w:val="a1"/>
        <w:spacing w:after="0"/>
        <w:jc w:val="both"/>
        <w:rPr>
          <w:rFonts w:cs="Times New Roman"/>
          <w:sz w:val="10"/>
          <w:szCs w:val="10"/>
        </w:rPr>
      </w:pPr>
    </w:p>
    <w:tbl>
      <w:tblPr>
        <w:tblStyle w:val="ac"/>
        <w:tblW w:w="4948" w:type="pct"/>
        <w:tblLayout w:type="fixed"/>
        <w:tblLook w:val="04A0" w:firstRow="1" w:lastRow="0" w:firstColumn="1" w:lastColumn="0" w:noHBand="0" w:noVBand="1"/>
      </w:tblPr>
      <w:tblGrid>
        <w:gridCol w:w="1236"/>
        <w:gridCol w:w="293"/>
        <w:gridCol w:w="1409"/>
        <w:gridCol w:w="293"/>
        <w:gridCol w:w="1354"/>
        <w:gridCol w:w="293"/>
        <w:gridCol w:w="1876"/>
        <w:gridCol w:w="281"/>
        <w:gridCol w:w="1270"/>
        <w:gridCol w:w="293"/>
        <w:gridCol w:w="1154"/>
      </w:tblGrid>
      <w:tr w:rsidR="003F4AB8" w:rsidRPr="008551C2" w:rsidTr="00C10F71">
        <w:tc>
          <w:tcPr>
            <w:tcW w:w="10173" w:type="dxa"/>
            <w:gridSpan w:val="11"/>
          </w:tcPr>
          <w:p w:rsidR="003F4AB8" w:rsidRPr="008551C2" w:rsidRDefault="003F4AB8" w:rsidP="008551C2">
            <w:pPr>
              <w:jc w:val="center"/>
              <w:rPr>
                <w:rFonts w:cs="Times New Roman"/>
              </w:rPr>
            </w:pPr>
            <w:r w:rsidRPr="008551C2">
              <w:rPr>
                <w:rFonts w:cs="Times New Roman"/>
              </w:rPr>
              <w:t>Способы обеспечения исполнения обязательств</w:t>
            </w:r>
          </w:p>
        </w:tc>
      </w:tr>
      <w:tr w:rsidR="003F4AB8" w:rsidRPr="008551C2" w:rsidTr="00C10F71">
        <w:tc>
          <w:tcPr>
            <w:tcW w:w="1296" w:type="dxa"/>
            <w:tcBorders>
              <w:left w:val="nil"/>
              <w:bottom w:val="single" w:sz="4" w:space="0" w:color="auto"/>
              <w:right w:val="nil"/>
            </w:tcBorders>
          </w:tcPr>
          <w:p w:rsidR="003F4AB8" w:rsidRPr="008551C2" w:rsidRDefault="003F4AB8" w:rsidP="008551C2">
            <w:pPr>
              <w:pStyle w:val="a1"/>
              <w:spacing w:after="0"/>
              <w:jc w:val="center"/>
              <w:rPr>
                <w:rFonts w:cs="Times New Roman"/>
              </w:rPr>
            </w:pPr>
            <w:r w:rsidRPr="008551C2">
              <w:rPr>
                <w:rFonts w:cs="Times New Roman"/>
              </w:rPr>
              <w:t>↓</w:t>
            </w:r>
          </w:p>
        </w:tc>
        <w:tc>
          <w:tcPr>
            <w:tcW w:w="296" w:type="dxa"/>
            <w:tcBorders>
              <w:left w:val="nil"/>
              <w:bottom w:val="nil"/>
              <w:right w:val="nil"/>
            </w:tcBorders>
          </w:tcPr>
          <w:p w:rsidR="003F4AB8" w:rsidRPr="008551C2" w:rsidRDefault="003F4AB8" w:rsidP="008551C2">
            <w:pPr>
              <w:pStyle w:val="a1"/>
              <w:spacing w:after="0"/>
              <w:jc w:val="center"/>
              <w:rPr>
                <w:rFonts w:cs="Times New Roman"/>
              </w:rPr>
            </w:pPr>
          </w:p>
        </w:tc>
        <w:tc>
          <w:tcPr>
            <w:tcW w:w="1478" w:type="dxa"/>
            <w:tcBorders>
              <w:left w:val="nil"/>
              <w:bottom w:val="single" w:sz="4" w:space="0" w:color="auto"/>
              <w:right w:val="nil"/>
            </w:tcBorders>
          </w:tcPr>
          <w:p w:rsidR="003F4AB8" w:rsidRPr="008551C2" w:rsidRDefault="003F4AB8" w:rsidP="008551C2">
            <w:pPr>
              <w:pStyle w:val="a1"/>
              <w:spacing w:after="0"/>
              <w:jc w:val="center"/>
              <w:rPr>
                <w:rFonts w:cs="Times New Roman"/>
              </w:rPr>
            </w:pPr>
            <w:r w:rsidRPr="008551C2">
              <w:rPr>
                <w:rFonts w:cs="Times New Roman"/>
              </w:rPr>
              <w:t>↓</w:t>
            </w:r>
          </w:p>
        </w:tc>
        <w:tc>
          <w:tcPr>
            <w:tcW w:w="296" w:type="dxa"/>
            <w:tcBorders>
              <w:left w:val="nil"/>
              <w:bottom w:val="nil"/>
              <w:right w:val="nil"/>
            </w:tcBorders>
          </w:tcPr>
          <w:p w:rsidR="003F4AB8" w:rsidRPr="008551C2" w:rsidRDefault="003F4AB8" w:rsidP="008551C2">
            <w:pPr>
              <w:pStyle w:val="a1"/>
              <w:spacing w:after="0"/>
              <w:jc w:val="center"/>
              <w:rPr>
                <w:rFonts w:cs="Times New Roman"/>
              </w:rPr>
            </w:pPr>
          </w:p>
        </w:tc>
        <w:tc>
          <w:tcPr>
            <w:tcW w:w="1420" w:type="dxa"/>
            <w:tcBorders>
              <w:left w:val="nil"/>
              <w:bottom w:val="single" w:sz="4" w:space="0" w:color="auto"/>
              <w:right w:val="nil"/>
            </w:tcBorders>
          </w:tcPr>
          <w:p w:rsidR="003F4AB8" w:rsidRPr="008551C2" w:rsidRDefault="003F4AB8" w:rsidP="008551C2">
            <w:pPr>
              <w:pStyle w:val="a1"/>
              <w:spacing w:after="0"/>
              <w:jc w:val="center"/>
              <w:rPr>
                <w:rFonts w:cs="Times New Roman"/>
              </w:rPr>
            </w:pPr>
            <w:r w:rsidRPr="008551C2">
              <w:rPr>
                <w:rFonts w:cs="Times New Roman"/>
              </w:rPr>
              <w:t>↓</w:t>
            </w:r>
          </w:p>
        </w:tc>
        <w:tc>
          <w:tcPr>
            <w:tcW w:w="296" w:type="dxa"/>
            <w:tcBorders>
              <w:left w:val="nil"/>
              <w:bottom w:val="nil"/>
              <w:right w:val="nil"/>
            </w:tcBorders>
          </w:tcPr>
          <w:p w:rsidR="003F4AB8" w:rsidRPr="008551C2" w:rsidRDefault="003F4AB8" w:rsidP="008551C2">
            <w:pPr>
              <w:pStyle w:val="a1"/>
              <w:spacing w:after="0"/>
              <w:jc w:val="center"/>
              <w:rPr>
                <w:rFonts w:cs="Times New Roman"/>
              </w:rPr>
            </w:pPr>
          </w:p>
        </w:tc>
        <w:tc>
          <w:tcPr>
            <w:tcW w:w="1972" w:type="dxa"/>
            <w:tcBorders>
              <w:left w:val="nil"/>
              <w:bottom w:val="single" w:sz="4" w:space="0" w:color="auto"/>
              <w:right w:val="nil"/>
            </w:tcBorders>
          </w:tcPr>
          <w:p w:rsidR="003F4AB8" w:rsidRPr="008551C2" w:rsidRDefault="003F4AB8" w:rsidP="008551C2">
            <w:pPr>
              <w:pStyle w:val="a1"/>
              <w:spacing w:after="0"/>
              <w:jc w:val="center"/>
              <w:rPr>
                <w:rFonts w:cs="Times New Roman"/>
              </w:rPr>
            </w:pPr>
            <w:r w:rsidRPr="008551C2">
              <w:rPr>
                <w:rFonts w:cs="Times New Roman"/>
              </w:rPr>
              <w:t>↓</w:t>
            </w:r>
          </w:p>
        </w:tc>
        <w:tc>
          <w:tcPr>
            <w:tcW w:w="284" w:type="dxa"/>
            <w:tcBorders>
              <w:left w:val="nil"/>
              <w:bottom w:val="nil"/>
              <w:right w:val="nil"/>
            </w:tcBorders>
          </w:tcPr>
          <w:p w:rsidR="003F4AB8" w:rsidRPr="008551C2" w:rsidRDefault="003F4AB8" w:rsidP="008551C2">
            <w:pPr>
              <w:pStyle w:val="a1"/>
              <w:spacing w:after="0"/>
              <w:jc w:val="center"/>
              <w:rPr>
                <w:rFonts w:cs="Times New Roman"/>
              </w:rPr>
            </w:pPr>
          </w:p>
        </w:tc>
        <w:tc>
          <w:tcPr>
            <w:tcW w:w="1331" w:type="dxa"/>
            <w:tcBorders>
              <w:left w:val="nil"/>
              <w:bottom w:val="single" w:sz="4" w:space="0" w:color="auto"/>
              <w:right w:val="nil"/>
            </w:tcBorders>
          </w:tcPr>
          <w:p w:rsidR="003F4AB8" w:rsidRPr="008551C2" w:rsidRDefault="003F4AB8" w:rsidP="008551C2">
            <w:pPr>
              <w:pStyle w:val="a1"/>
              <w:spacing w:after="0"/>
              <w:jc w:val="center"/>
              <w:rPr>
                <w:rFonts w:cs="Times New Roman"/>
              </w:rPr>
            </w:pPr>
            <w:r w:rsidRPr="008551C2">
              <w:rPr>
                <w:rFonts w:cs="Times New Roman"/>
              </w:rPr>
              <w:t>↓</w:t>
            </w:r>
          </w:p>
        </w:tc>
        <w:tc>
          <w:tcPr>
            <w:tcW w:w="296" w:type="dxa"/>
            <w:tcBorders>
              <w:left w:val="nil"/>
              <w:bottom w:val="nil"/>
              <w:right w:val="nil"/>
            </w:tcBorders>
          </w:tcPr>
          <w:p w:rsidR="003F4AB8" w:rsidRPr="008551C2" w:rsidRDefault="003F4AB8" w:rsidP="008551C2">
            <w:pPr>
              <w:pStyle w:val="a1"/>
              <w:spacing w:after="0"/>
              <w:jc w:val="center"/>
              <w:rPr>
                <w:rFonts w:cs="Times New Roman"/>
              </w:rPr>
            </w:pPr>
          </w:p>
        </w:tc>
        <w:tc>
          <w:tcPr>
            <w:tcW w:w="1208" w:type="dxa"/>
            <w:tcBorders>
              <w:left w:val="nil"/>
              <w:bottom w:val="single" w:sz="4" w:space="0" w:color="auto"/>
              <w:right w:val="nil"/>
            </w:tcBorders>
          </w:tcPr>
          <w:p w:rsidR="003F4AB8" w:rsidRPr="008551C2" w:rsidRDefault="003F4AB8" w:rsidP="008551C2">
            <w:pPr>
              <w:pStyle w:val="a1"/>
              <w:spacing w:after="0"/>
              <w:jc w:val="center"/>
              <w:rPr>
                <w:rFonts w:cs="Times New Roman"/>
              </w:rPr>
            </w:pPr>
            <w:r w:rsidRPr="008551C2">
              <w:rPr>
                <w:rFonts w:cs="Times New Roman"/>
              </w:rPr>
              <w:t>↓</w:t>
            </w:r>
          </w:p>
        </w:tc>
      </w:tr>
      <w:tr w:rsidR="00C10F71" w:rsidRPr="008551C2" w:rsidTr="00C10F71">
        <w:trPr>
          <w:cantSplit/>
          <w:trHeight w:val="1437"/>
        </w:trPr>
        <w:tc>
          <w:tcPr>
            <w:tcW w:w="1296" w:type="dxa"/>
            <w:tcBorders>
              <w:bottom w:val="single" w:sz="4" w:space="0" w:color="auto"/>
            </w:tcBorders>
            <w:vAlign w:val="center"/>
          </w:tcPr>
          <w:p w:rsidR="003F4AB8" w:rsidRPr="008551C2" w:rsidRDefault="003F4AB8" w:rsidP="005022DD">
            <w:pPr>
              <w:pStyle w:val="a1"/>
              <w:spacing w:after="0"/>
              <w:jc w:val="center"/>
              <w:rPr>
                <w:rFonts w:cs="Times New Roman"/>
              </w:rPr>
            </w:pPr>
            <w:r w:rsidRPr="008551C2">
              <w:rPr>
                <w:rFonts w:cs="Times New Roman"/>
              </w:rPr>
              <w:t>Залог</w:t>
            </w:r>
          </w:p>
        </w:tc>
        <w:tc>
          <w:tcPr>
            <w:tcW w:w="296" w:type="dxa"/>
            <w:tcBorders>
              <w:top w:val="nil"/>
              <w:bottom w:val="nil"/>
            </w:tcBorders>
            <w:vAlign w:val="center"/>
          </w:tcPr>
          <w:p w:rsidR="003F4AB8" w:rsidRPr="008551C2" w:rsidRDefault="003F4AB8" w:rsidP="005022DD">
            <w:pPr>
              <w:pStyle w:val="a1"/>
              <w:spacing w:after="0"/>
              <w:jc w:val="center"/>
              <w:rPr>
                <w:rFonts w:cs="Times New Roman"/>
              </w:rPr>
            </w:pPr>
          </w:p>
        </w:tc>
        <w:tc>
          <w:tcPr>
            <w:tcW w:w="1478" w:type="dxa"/>
            <w:tcBorders>
              <w:bottom w:val="single" w:sz="4" w:space="0" w:color="auto"/>
            </w:tcBorders>
            <w:vAlign w:val="center"/>
          </w:tcPr>
          <w:p w:rsidR="003F4AB8" w:rsidRPr="008551C2" w:rsidRDefault="003F4AB8" w:rsidP="005022DD">
            <w:pPr>
              <w:pStyle w:val="a1"/>
              <w:spacing w:after="0"/>
              <w:jc w:val="center"/>
              <w:rPr>
                <w:rFonts w:cs="Times New Roman"/>
              </w:rPr>
            </w:pPr>
            <w:r w:rsidRPr="008551C2">
              <w:rPr>
                <w:rFonts w:cs="Times New Roman"/>
              </w:rPr>
              <w:t>Удержание имущества</w:t>
            </w:r>
          </w:p>
        </w:tc>
        <w:tc>
          <w:tcPr>
            <w:tcW w:w="296" w:type="dxa"/>
            <w:tcBorders>
              <w:top w:val="nil"/>
              <w:bottom w:val="nil"/>
            </w:tcBorders>
            <w:vAlign w:val="center"/>
          </w:tcPr>
          <w:p w:rsidR="003F4AB8" w:rsidRPr="008551C2" w:rsidRDefault="003F4AB8" w:rsidP="005022DD">
            <w:pPr>
              <w:pStyle w:val="a1"/>
              <w:spacing w:after="0"/>
              <w:jc w:val="center"/>
              <w:rPr>
                <w:rFonts w:cs="Times New Roman"/>
              </w:rPr>
            </w:pPr>
          </w:p>
        </w:tc>
        <w:tc>
          <w:tcPr>
            <w:tcW w:w="1420" w:type="dxa"/>
            <w:tcBorders>
              <w:bottom w:val="single" w:sz="4" w:space="0" w:color="auto"/>
            </w:tcBorders>
            <w:vAlign w:val="center"/>
          </w:tcPr>
          <w:p w:rsidR="003F4AB8" w:rsidRPr="008551C2" w:rsidRDefault="003F4AB8" w:rsidP="005022DD">
            <w:pPr>
              <w:pStyle w:val="a1"/>
              <w:spacing w:after="0"/>
              <w:jc w:val="center"/>
              <w:rPr>
                <w:rFonts w:cs="Times New Roman"/>
              </w:rPr>
            </w:pPr>
            <w:r w:rsidRPr="008551C2">
              <w:rPr>
                <w:rFonts w:cs="Times New Roman"/>
              </w:rPr>
              <w:t>Банковская гарантия</w:t>
            </w:r>
          </w:p>
        </w:tc>
        <w:tc>
          <w:tcPr>
            <w:tcW w:w="296" w:type="dxa"/>
            <w:tcBorders>
              <w:top w:val="nil"/>
              <w:bottom w:val="nil"/>
            </w:tcBorders>
            <w:vAlign w:val="center"/>
          </w:tcPr>
          <w:p w:rsidR="003F4AB8" w:rsidRPr="008551C2" w:rsidRDefault="003F4AB8" w:rsidP="005022DD">
            <w:pPr>
              <w:pStyle w:val="a1"/>
              <w:spacing w:after="0"/>
              <w:jc w:val="center"/>
              <w:rPr>
                <w:rFonts w:cs="Times New Roman"/>
              </w:rPr>
            </w:pPr>
          </w:p>
        </w:tc>
        <w:tc>
          <w:tcPr>
            <w:tcW w:w="1972" w:type="dxa"/>
            <w:tcBorders>
              <w:bottom w:val="single" w:sz="4" w:space="0" w:color="auto"/>
            </w:tcBorders>
            <w:vAlign w:val="center"/>
          </w:tcPr>
          <w:p w:rsidR="003F4AB8" w:rsidRPr="008551C2" w:rsidRDefault="003F4AB8" w:rsidP="005022DD">
            <w:pPr>
              <w:pStyle w:val="a1"/>
              <w:spacing w:after="0"/>
              <w:jc w:val="center"/>
              <w:rPr>
                <w:rFonts w:cs="Times New Roman"/>
              </w:rPr>
            </w:pPr>
            <w:r w:rsidRPr="008551C2">
              <w:rPr>
                <w:rFonts w:cs="Times New Roman"/>
              </w:rPr>
              <w:t>Поручительство</w:t>
            </w:r>
          </w:p>
        </w:tc>
        <w:tc>
          <w:tcPr>
            <w:tcW w:w="284" w:type="dxa"/>
            <w:tcBorders>
              <w:top w:val="nil"/>
              <w:bottom w:val="nil"/>
            </w:tcBorders>
            <w:vAlign w:val="center"/>
          </w:tcPr>
          <w:p w:rsidR="003F4AB8" w:rsidRPr="008551C2" w:rsidRDefault="003F4AB8" w:rsidP="005022DD">
            <w:pPr>
              <w:pStyle w:val="a1"/>
              <w:spacing w:after="0"/>
              <w:jc w:val="center"/>
              <w:rPr>
                <w:rFonts w:cs="Times New Roman"/>
              </w:rPr>
            </w:pPr>
          </w:p>
        </w:tc>
        <w:tc>
          <w:tcPr>
            <w:tcW w:w="1331" w:type="dxa"/>
            <w:tcBorders>
              <w:bottom w:val="single" w:sz="4" w:space="0" w:color="auto"/>
            </w:tcBorders>
            <w:vAlign w:val="center"/>
          </w:tcPr>
          <w:p w:rsidR="003F4AB8" w:rsidRPr="008551C2" w:rsidRDefault="003F4AB8" w:rsidP="005022DD">
            <w:pPr>
              <w:pStyle w:val="a1"/>
              <w:spacing w:after="0"/>
              <w:jc w:val="center"/>
              <w:rPr>
                <w:rFonts w:cs="Times New Roman"/>
              </w:rPr>
            </w:pPr>
            <w:r w:rsidRPr="008551C2">
              <w:rPr>
                <w:rFonts w:cs="Times New Roman"/>
              </w:rPr>
              <w:t>Неустойка</w:t>
            </w:r>
          </w:p>
        </w:tc>
        <w:tc>
          <w:tcPr>
            <w:tcW w:w="296" w:type="dxa"/>
            <w:tcBorders>
              <w:top w:val="nil"/>
              <w:bottom w:val="nil"/>
            </w:tcBorders>
            <w:vAlign w:val="center"/>
          </w:tcPr>
          <w:p w:rsidR="003F4AB8" w:rsidRPr="008551C2" w:rsidRDefault="003F4AB8" w:rsidP="005022DD">
            <w:pPr>
              <w:pStyle w:val="a1"/>
              <w:spacing w:after="0"/>
              <w:jc w:val="center"/>
              <w:rPr>
                <w:rFonts w:cs="Times New Roman"/>
              </w:rPr>
            </w:pPr>
          </w:p>
        </w:tc>
        <w:tc>
          <w:tcPr>
            <w:tcW w:w="1208" w:type="dxa"/>
            <w:tcBorders>
              <w:bottom w:val="single" w:sz="4" w:space="0" w:color="auto"/>
            </w:tcBorders>
            <w:vAlign w:val="center"/>
          </w:tcPr>
          <w:p w:rsidR="003F4AB8" w:rsidRPr="008551C2" w:rsidRDefault="003F4AB8" w:rsidP="005022DD">
            <w:pPr>
              <w:pStyle w:val="a1"/>
              <w:spacing w:after="0"/>
              <w:jc w:val="center"/>
              <w:rPr>
                <w:rFonts w:cs="Times New Roman"/>
              </w:rPr>
            </w:pPr>
            <w:r w:rsidRPr="008551C2">
              <w:rPr>
                <w:rFonts w:cs="Times New Roman"/>
              </w:rPr>
              <w:t>Задаток</w:t>
            </w:r>
          </w:p>
        </w:tc>
      </w:tr>
      <w:tr w:rsidR="004B3E04" w:rsidRPr="008551C2" w:rsidTr="00C10F71">
        <w:trPr>
          <w:cantSplit/>
          <w:trHeight w:val="332"/>
        </w:trPr>
        <w:tc>
          <w:tcPr>
            <w:tcW w:w="4786" w:type="dxa"/>
            <w:gridSpan w:val="5"/>
            <w:tcBorders>
              <w:top w:val="nil"/>
              <w:left w:val="nil"/>
              <w:bottom w:val="nil"/>
              <w:right w:val="nil"/>
            </w:tcBorders>
            <w:vAlign w:val="center"/>
          </w:tcPr>
          <w:p w:rsidR="004B3E04" w:rsidRPr="008551C2" w:rsidRDefault="004B3E04" w:rsidP="004B3E04">
            <w:pPr>
              <w:pStyle w:val="a1"/>
              <w:spacing w:after="0"/>
              <w:jc w:val="both"/>
              <w:rPr>
                <w:rFonts w:cs="Times New Roman"/>
              </w:rPr>
            </w:pPr>
            <w:r w:rsidRPr="008551C2">
              <w:rPr>
                <w:rFonts w:cs="Times New Roman"/>
              </w:rPr>
              <w:t xml:space="preserve">В </w:t>
            </w:r>
            <w:proofErr w:type="spellStart"/>
            <w:r w:rsidRPr="008551C2">
              <w:rPr>
                <w:rFonts w:cs="Times New Roman"/>
              </w:rPr>
              <w:t>неденежной</w:t>
            </w:r>
            <w:proofErr w:type="spellEnd"/>
            <w:r>
              <w:rPr>
                <w:rFonts w:cs="Times New Roman"/>
              </w:rPr>
              <w:t xml:space="preserve"> </w:t>
            </w:r>
            <w:r w:rsidRPr="008551C2">
              <w:rPr>
                <w:rFonts w:cs="Times New Roman"/>
              </w:rPr>
              <w:t>(имущественной) форме</w:t>
            </w:r>
          </w:p>
        </w:tc>
        <w:tc>
          <w:tcPr>
            <w:tcW w:w="296" w:type="dxa"/>
            <w:tcBorders>
              <w:top w:val="nil"/>
              <w:left w:val="nil"/>
              <w:bottom w:val="nil"/>
              <w:right w:val="nil"/>
            </w:tcBorders>
            <w:textDirection w:val="btLr"/>
            <w:vAlign w:val="center"/>
          </w:tcPr>
          <w:p w:rsidR="004B3E04" w:rsidRPr="008551C2" w:rsidRDefault="004B3E04" w:rsidP="008551C2">
            <w:pPr>
              <w:pStyle w:val="a1"/>
              <w:spacing w:after="0"/>
              <w:jc w:val="center"/>
              <w:rPr>
                <w:rFonts w:cs="Times New Roman"/>
              </w:rPr>
            </w:pPr>
          </w:p>
        </w:tc>
        <w:tc>
          <w:tcPr>
            <w:tcW w:w="5091" w:type="dxa"/>
            <w:gridSpan w:val="5"/>
            <w:tcBorders>
              <w:top w:val="nil"/>
              <w:left w:val="nil"/>
              <w:bottom w:val="nil"/>
              <w:right w:val="nil"/>
            </w:tcBorders>
            <w:vAlign w:val="center"/>
          </w:tcPr>
          <w:p w:rsidR="004B3E04" w:rsidRPr="008551C2" w:rsidRDefault="004B3E04" w:rsidP="004B3E04">
            <w:pPr>
              <w:pStyle w:val="a1"/>
              <w:spacing w:after="0"/>
              <w:rPr>
                <w:rFonts w:cs="Times New Roman"/>
              </w:rPr>
            </w:pPr>
            <w:r w:rsidRPr="008551C2">
              <w:rPr>
                <w:rFonts w:cs="Times New Roman"/>
              </w:rPr>
              <w:t>В денежной форме*</w:t>
            </w:r>
          </w:p>
        </w:tc>
      </w:tr>
    </w:tbl>
    <w:p w:rsidR="004B3E04" w:rsidRPr="004B3E04" w:rsidRDefault="004B3E04" w:rsidP="008551C2">
      <w:pPr>
        <w:pStyle w:val="a1"/>
        <w:spacing w:after="0"/>
        <w:jc w:val="both"/>
        <w:rPr>
          <w:rFonts w:cs="Times New Roman"/>
          <w:sz w:val="10"/>
          <w:szCs w:val="10"/>
        </w:rPr>
      </w:pPr>
    </w:p>
    <w:p w:rsidR="003F4AB8" w:rsidRPr="008551C2" w:rsidRDefault="003F4AB8" w:rsidP="008551C2">
      <w:pPr>
        <w:pStyle w:val="a1"/>
        <w:spacing w:after="0"/>
        <w:jc w:val="both"/>
        <w:rPr>
          <w:rFonts w:cs="Times New Roman"/>
        </w:rPr>
      </w:pPr>
      <w:r w:rsidRPr="008551C2">
        <w:rPr>
          <w:rFonts w:cs="Times New Roman"/>
        </w:rPr>
        <w:lastRenderedPageBreak/>
        <w:t>* в данной части схемы ячейки заполняются в произвольном порядке</w:t>
      </w:r>
    </w:p>
    <w:p w:rsidR="004B3E04" w:rsidRPr="008551C2" w:rsidRDefault="004B3E04" w:rsidP="008551C2">
      <w:pPr>
        <w:pStyle w:val="a1"/>
        <w:spacing w:after="0"/>
        <w:jc w:val="both"/>
        <w:rPr>
          <w:rFonts w:cs="Times New Roman"/>
          <w:b/>
          <w:bCs/>
        </w:rPr>
      </w:pPr>
      <w:bookmarkStart w:id="1" w:name="_GoBack"/>
      <w:bookmarkEnd w:id="1"/>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8978"/>
        <w:gridCol w:w="1134"/>
      </w:tblGrid>
      <w:tr w:rsidR="00C17B84" w:rsidRPr="008551C2" w:rsidTr="004B3E04">
        <w:tc>
          <w:tcPr>
            <w:tcW w:w="8978" w:type="dxa"/>
            <w:tcBorders>
              <w:top w:val="single" w:sz="1" w:space="0" w:color="000000"/>
              <w:left w:val="single" w:sz="1" w:space="0" w:color="000000"/>
              <w:bottom w:val="single" w:sz="1" w:space="0" w:color="000000"/>
            </w:tcBorders>
            <w:shd w:val="clear" w:color="auto" w:fill="auto"/>
          </w:tcPr>
          <w:p w:rsidR="00C17B84" w:rsidRPr="008551C2" w:rsidRDefault="003F4AB8" w:rsidP="008551C2">
            <w:pPr>
              <w:jc w:val="both"/>
              <w:rPr>
                <w:rFonts w:cs="Times New Roman"/>
              </w:rPr>
            </w:pPr>
            <w:r w:rsidRPr="008551C2">
              <w:rPr>
                <w:rFonts w:cs="Times New Roman"/>
              </w:rPr>
              <w:t>За каждую полностью и верно заполненную ячейку (с учетом ее размещения в схеме)</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rsidR="00C17B84" w:rsidRPr="008551C2" w:rsidRDefault="003F4AB8" w:rsidP="008551C2">
            <w:pPr>
              <w:jc w:val="both"/>
              <w:rPr>
                <w:rFonts w:cs="Times New Roman"/>
              </w:rPr>
            </w:pPr>
            <w:r w:rsidRPr="008551C2">
              <w:rPr>
                <w:rFonts w:cs="Times New Roman"/>
              </w:rPr>
              <w:t>1 балл</w:t>
            </w:r>
          </w:p>
        </w:tc>
      </w:tr>
      <w:tr w:rsidR="00C17B84" w:rsidRPr="008551C2" w:rsidTr="004B3E04">
        <w:tc>
          <w:tcPr>
            <w:tcW w:w="8978" w:type="dxa"/>
            <w:tcBorders>
              <w:left w:val="single" w:sz="1" w:space="0" w:color="000000"/>
              <w:bottom w:val="single" w:sz="1" w:space="0" w:color="000000"/>
            </w:tcBorders>
            <w:shd w:val="clear" w:color="auto" w:fill="auto"/>
          </w:tcPr>
          <w:p w:rsidR="00C17B84" w:rsidRPr="008551C2" w:rsidRDefault="00094490" w:rsidP="008551C2">
            <w:pPr>
              <w:pStyle w:val="a1"/>
              <w:spacing w:after="0"/>
              <w:jc w:val="both"/>
              <w:rPr>
                <w:rFonts w:cs="Times New Roman"/>
                <w:b/>
                <w:i/>
                <w:color w:val="000000"/>
              </w:rPr>
            </w:pPr>
            <w:r w:rsidRPr="008551C2">
              <w:rPr>
                <w:rFonts w:cs="Times New Roman"/>
                <w:b/>
                <w:i/>
                <w:color w:val="000000"/>
              </w:rPr>
              <w:t>Максимальный балл</w:t>
            </w:r>
          </w:p>
        </w:tc>
        <w:tc>
          <w:tcPr>
            <w:tcW w:w="1134" w:type="dxa"/>
            <w:tcBorders>
              <w:left w:val="single" w:sz="1" w:space="0" w:color="000000"/>
              <w:bottom w:val="single" w:sz="1" w:space="0" w:color="000000"/>
              <w:right w:val="single" w:sz="1" w:space="0" w:color="000000"/>
            </w:tcBorders>
            <w:shd w:val="clear" w:color="auto" w:fill="auto"/>
          </w:tcPr>
          <w:p w:rsidR="00C17B84" w:rsidRPr="008551C2" w:rsidRDefault="003F4AB8" w:rsidP="008551C2">
            <w:pPr>
              <w:pStyle w:val="a1"/>
              <w:spacing w:after="0"/>
              <w:jc w:val="both"/>
              <w:rPr>
                <w:rFonts w:cs="Times New Roman"/>
              </w:rPr>
            </w:pPr>
            <w:r w:rsidRPr="008551C2">
              <w:rPr>
                <w:rFonts w:cs="Times New Roman"/>
                <w:b/>
                <w:i/>
                <w:color w:val="000000"/>
              </w:rPr>
              <w:t>6</w:t>
            </w:r>
            <w:r w:rsidR="00094490" w:rsidRPr="008551C2">
              <w:rPr>
                <w:rFonts w:cs="Times New Roman"/>
                <w:b/>
                <w:i/>
                <w:color w:val="000000"/>
              </w:rPr>
              <w:t xml:space="preserve"> баллов</w:t>
            </w:r>
          </w:p>
        </w:tc>
      </w:tr>
    </w:tbl>
    <w:p w:rsidR="00094490" w:rsidRPr="005022DD" w:rsidRDefault="00094490" w:rsidP="008551C2">
      <w:pPr>
        <w:rPr>
          <w:rFonts w:cs="Times New Roman"/>
          <w:sz w:val="2"/>
          <w:szCs w:val="2"/>
        </w:rPr>
      </w:pPr>
    </w:p>
    <w:sectPr w:rsidR="00094490" w:rsidRPr="005022DD" w:rsidSect="00A542F6">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E2"/>
    <w:rsid w:val="00094490"/>
    <w:rsid w:val="003F4AB8"/>
    <w:rsid w:val="003F5100"/>
    <w:rsid w:val="004863E2"/>
    <w:rsid w:val="004B3E04"/>
    <w:rsid w:val="005022DD"/>
    <w:rsid w:val="00693196"/>
    <w:rsid w:val="008551C2"/>
    <w:rsid w:val="00882FCC"/>
    <w:rsid w:val="00A542F6"/>
    <w:rsid w:val="00B62131"/>
    <w:rsid w:val="00C10F71"/>
    <w:rsid w:val="00C17B84"/>
    <w:rsid w:val="00D5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Arial"/>
      <w:kern w:val="1"/>
      <w:sz w:val="24"/>
      <w:szCs w:val="24"/>
      <w:lang w:eastAsia="hi-IN" w:bidi="hi-IN"/>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5">
    <w:name w:val="Hyperlink"/>
    <w:rPr>
      <w:color w:val="000080"/>
      <w:u w:val="single"/>
    </w:rPr>
  </w:style>
  <w:style w:type="character" w:styleId="a6">
    <w:name w:val="Strong"/>
    <w:qFormat/>
    <w:rPr>
      <w:b/>
      <w:bCs/>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9">
    <w:name w:val="List"/>
    <w:basedOn w:val="a1"/>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11">
    <w:name w:val="Цитата1"/>
    <w:basedOn w:val="a"/>
    <w:pPr>
      <w:spacing w:after="283"/>
      <w:ind w:left="567" w:right="567"/>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table" w:styleId="ac">
    <w:name w:val="Table Grid"/>
    <w:basedOn w:val="a3"/>
    <w:uiPriority w:val="59"/>
    <w:rsid w:val="00882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Arial"/>
      <w:kern w:val="1"/>
      <w:sz w:val="24"/>
      <w:szCs w:val="24"/>
      <w:lang w:eastAsia="hi-IN" w:bidi="hi-IN"/>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5">
    <w:name w:val="Hyperlink"/>
    <w:rPr>
      <w:color w:val="000080"/>
      <w:u w:val="single"/>
    </w:rPr>
  </w:style>
  <w:style w:type="character" w:styleId="a6">
    <w:name w:val="Strong"/>
    <w:qFormat/>
    <w:rPr>
      <w:b/>
      <w:bCs/>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9">
    <w:name w:val="List"/>
    <w:basedOn w:val="a1"/>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11">
    <w:name w:val="Цитата1"/>
    <w:basedOn w:val="a"/>
    <w:pPr>
      <w:spacing w:after="283"/>
      <w:ind w:left="567" w:right="567"/>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table" w:styleId="ac">
    <w:name w:val="Table Grid"/>
    <w:basedOn w:val="a3"/>
    <w:uiPriority w:val="59"/>
    <w:rsid w:val="00882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5.biz/terms/g5.html" TargetMode="External"/><Relationship Id="rId13" Type="http://schemas.openxmlformats.org/officeDocument/2006/relationships/hyperlink" Target="http://be5.biz/terms/o9.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e5.biz/terms/z10.html" TargetMode="External"/><Relationship Id="rId12" Type="http://schemas.openxmlformats.org/officeDocument/2006/relationships/hyperlink" Target="http://be5.biz/terms/p47.html" TargetMode="External"/><Relationship Id="rId17" Type="http://schemas.openxmlformats.org/officeDocument/2006/relationships/hyperlink" Target="http://be5.biz/terms/d3.html" TargetMode="External"/><Relationship Id="rId2" Type="http://schemas.openxmlformats.org/officeDocument/2006/relationships/styles" Target="styles.xml"/><Relationship Id="rId16" Type="http://schemas.openxmlformats.org/officeDocument/2006/relationships/hyperlink" Target="http://be5.biz/terms/z9.html" TargetMode="External"/><Relationship Id="rId1" Type="http://schemas.openxmlformats.org/officeDocument/2006/relationships/numbering" Target="numbering.xml"/><Relationship Id="rId6" Type="http://schemas.openxmlformats.org/officeDocument/2006/relationships/hyperlink" Target="http://be5.biz/terms/v19.html" TargetMode="External"/><Relationship Id="rId11" Type="http://schemas.openxmlformats.org/officeDocument/2006/relationships/hyperlink" Target="http://be5.biz/terms/i8.html" TargetMode="External"/><Relationship Id="rId5" Type="http://schemas.openxmlformats.org/officeDocument/2006/relationships/webSettings" Target="webSettings.xml"/><Relationship Id="rId15" Type="http://schemas.openxmlformats.org/officeDocument/2006/relationships/hyperlink" Target="http://be5.biz/terms/g9.html" TargetMode="External"/><Relationship Id="rId10" Type="http://schemas.openxmlformats.org/officeDocument/2006/relationships/hyperlink" Target="http://be5.biz/terms/o9.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e5.biz/terms/d29.html" TargetMode="External"/><Relationship Id="rId14" Type="http://schemas.openxmlformats.org/officeDocument/2006/relationships/hyperlink" Target="http://be5.biz/terms/z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8</cp:revision>
  <cp:lastPrinted>1900-12-31T20:00:00Z</cp:lastPrinted>
  <dcterms:created xsi:type="dcterms:W3CDTF">2020-03-17T13:53:00Z</dcterms:created>
  <dcterms:modified xsi:type="dcterms:W3CDTF">2020-03-18T13:04:00Z</dcterms:modified>
</cp:coreProperties>
</file>